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A15B50" w:rsidRDefault="00E42FF3" w:rsidP="00A15B50">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3FD25441" w:rsidR="00E42FF3" w:rsidRPr="006F014C" w:rsidRDefault="00EC2356" w:rsidP="00E42FF3">
      <w:pPr>
        <w:pStyle w:val="Notedebasdepage1"/>
        <w:tabs>
          <w:tab w:val="left" w:pos="0"/>
        </w:tabs>
        <w:spacing w:after="40"/>
        <w:jc w:val="center"/>
        <w:rPr>
          <w:rFonts w:ascii="Arial Narrow" w:hAnsi="Arial Narrow"/>
          <w:color w:val="2F5496" w:themeColor="accent5" w:themeShade="BF"/>
          <w:sz w:val="48"/>
          <w:szCs w:val="48"/>
        </w:rPr>
      </w:pPr>
      <w:r w:rsidRPr="006F014C">
        <w:rPr>
          <w:rFonts w:ascii="Arial Narrow" w:hAnsi="Arial Narrow"/>
          <w:color w:val="2F5496" w:themeColor="accent5" w:themeShade="BF"/>
          <w:sz w:val="48"/>
          <w:szCs w:val="48"/>
        </w:rPr>
        <w:t>CAHIER DES CLAUSES ADMINISTRATIVES PARTICULIERES</w:t>
      </w:r>
      <w:r w:rsidR="00A15B50">
        <w:rPr>
          <w:rFonts w:ascii="Arial Narrow" w:hAnsi="Arial Narrow"/>
          <w:color w:val="2F5496" w:themeColor="accent5" w:themeShade="BF"/>
          <w:sz w:val="48"/>
          <w:szCs w:val="48"/>
        </w:rPr>
        <w:t xml:space="preserve"> COMMUN</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61C42F00" w14:textId="77777777" w:rsidR="00A15B50" w:rsidRPr="006E17D4" w:rsidRDefault="00A15B50" w:rsidP="00A15B50">
      <w:pPr>
        <w:pStyle w:val="En-tte"/>
        <w:spacing w:after="160" w:line="259" w:lineRule="auto"/>
        <w:jc w:val="center"/>
        <w:rPr>
          <w:rFonts w:ascii="Arial" w:hAnsi="Arial" w:cs="Arial"/>
          <w:b/>
          <w:sz w:val="28"/>
          <w:szCs w:val="28"/>
        </w:rPr>
      </w:pPr>
      <w:r>
        <w:rPr>
          <w:rFonts w:ascii="Arial Narrow" w:hAnsi="Arial Narrow"/>
          <w:sz w:val="28"/>
          <w:szCs w:val="28"/>
        </w:rPr>
        <w:t xml:space="preserve">Accord-cadre relatif à l’impression de brochures, magazines, dépliants, cartes de vœux et rapports d’activité  </w:t>
      </w:r>
    </w:p>
    <w:p w14:paraId="3E4BEFFD" w14:textId="77777777" w:rsidR="00A15B50" w:rsidRPr="003527AD" w:rsidRDefault="00A15B50" w:rsidP="00A15B50">
      <w:pPr>
        <w:pStyle w:val="En-tte"/>
        <w:jc w:val="center"/>
        <w:rPr>
          <w:rFonts w:ascii="Arial" w:hAnsi="Arial" w:cs="Arial"/>
          <w:b/>
          <w:szCs w:val="28"/>
        </w:rPr>
      </w:pPr>
      <w:r w:rsidRPr="003527AD">
        <w:rPr>
          <w:rFonts w:ascii="Arial" w:hAnsi="Arial" w:cs="Arial"/>
          <w:b/>
          <w:szCs w:val="28"/>
        </w:rPr>
        <w:t>Lot 1 : Impression en offset feuille</w:t>
      </w:r>
    </w:p>
    <w:p w14:paraId="0242805A" w14:textId="77777777" w:rsidR="00A15B50" w:rsidRPr="003527AD" w:rsidRDefault="00A15B50" w:rsidP="00A15B50">
      <w:pPr>
        <w:pStyle w:val="En-tte"/>
        <w:jc w:val="center"/>
        <w:rPr>
          <w:rFonts w:ascii="Arial" w:hAnsi="Arial" w:cs="Arial"/>
          <w:b/>
          <w:szCs w:val="28"/>
        </w:rPr>
      </w:pPr>
      <w:r w:rsidRPr="003527AD">
        <w:rPr>
          <w:rFonts w:ascii="Arial" w:hAnsi="Arial" w:cs="Arial"/>
          <w:b/>
          <w:szCs w:val="28"/>
        </w:rPr>
        <w:t>Lot 2 : Impression en rotative</w:t>
      </w:r>
    </w:p>
    <w:p w14:paraId="4C429C17" w14:textId="77777777" w:rsidR="00A15B50" w:rsidRPr="003527AD" w:rsidRDefault="00A15B50" w:rsidP="00A15B50">
      <w:pPr>
        <w:pStyle w:val="En-tte"/>
        <w:tabs>
          <w:tab w:val="clear" w:pos="4536"/>
          <w:tab w:val="clear" w:pos="9072"/>
        </w:tabs>
        <w:spacing w:after="160" w:line="259" w:lineRule="auto"/>
        <w:jc w:val="center"/>
        <w:rPr>
          <w:rFonts w:ascii="Arial" w:hAnsi="Arial" w:cs="Arial"/>
          <w:b/>
          <w:szCs w:val="28"/>
        </w:rPr>
      </w:pPr>
      <w:r w:rsidRPr="003527AD">
        <w:rPr>
          <w:rFonts w:ascii="Arial" w:hAnsi="Arial" w:cs="Arial"/>
          <w:b/>
          <w:szCs w:val="28"/>
        </w:rPr>
        <w:t>Lot 3 : Impression en numérique</w:t>
      </w:r>
    </w:p>
    <w:p w14:paraId="505A12A6" w14:textId="1F64AFAA" w:rsidR="00E42FF3" w:rsidRPr="00546FE0" w:rsidRDefault="00E42FF3" w:rsidP="00E42FF3">
      <w:pPr>
        <w:pStyle w:val="En-tte"/>
        <w:tabs>
          <w:tab w:val="clear" w:pos="4536"/>
          <w:tab w:val="clear" w:pos="9072"/>
        </w:tabs>
        <w:spacing w:after="160" w:line="259" w:lineRule="auto"/>
        <w:rPr>
          <w:rFonts w:ascii="Arial Narrow" w:hAnsi="Arial Narrow"/>
          <w:sz w:val="24"/>
          <w:szCs w:val="24"/>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0609F2D6"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A15B50">
                  <w:rPr>
                    <w:rFonts w:ascii="Arial Narrow" w:hAnsi="Arial Narrow"/>
                    <w:sz w:val="22"/>
                    <w:szCs w:val="22"/>
                  </w:rPr>
                  <w:t>Services</w:t>
                </w:r>
              </w:sdtContent>
            </w:sdt>
          </w:p>
          <w:p w14:paraId="4CA1EB62" w14:textId="4FD2DC9E" w:rsidR="0081396B" w:rsidRPr="00546FE0" w:rsidRDefault="00A15B50" w:rsidP="00E42FF3">
            <w:pPr>
              <w:tabs>
                <w:tab w:val="left" w:pos="5880"/>
              </w:tabs>
              <w:spacing w:after="120"/>
              <w:rPr>
                <w:rFonts w:ascii="Arial Narrow" w:hAnsi="Arial Narrow"/>
              </w:rPr>
            </w:pPr>
            <w:r>
              <w:rPr>
                <w:rFonts w:ascii="Arial Narrow" w:hAnsi="Arial Narrow"/>
              </w:rPr>
              <w:t xml:space="preserve">Application du </w:t>
            </w:r>
            <w:r w:rsidR="0081396B" w:rsidRPr="00546FE0">
              <w:rPr>
                <w:rFonts w:ascii="Arial Narrow" w:hAnsi="Arial Narrow"/>
              </w:rPr>
              <w:t>CCAG</w:t>
            </w:r>
            <w:r>
              <w:rPr>
                <w:rFonts w:ascii="Arial Narrow" w:hAnsi="Arial Narrow"/>
              </w:rPr>
              <w:t>-FCS</w:t>
            </w:r>
          </w:p>
          <w:p w14:paraId="7ACFE896" w14:textId="5DBF2953"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A15B50">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419C270C" w:rsidR="00E42FF3"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A15B50">
                  <w:rPr>
                    <w:rFonts w:ascii="Arial Narrow" w:hAnsi="Arial Narrow"/>
                  </w:rPr>
                  <w:t xml:space="preserve">Pour les lots 1 et 2 Accord-cadre multi-attributaires donnant lieu à la conclusion de marchés subséquents en application du 1° de l’article L. 2125-1 et des articles des articles R. 2162-1 à R. 2162 12 du code de la commande publique. </w:t>
                </w:r>
              </w:sdtContent>
            </w:sdt>
          </w:p>
          <w:p w14:paraId="1F0176A9" w14:textId="0F1E5A45" w:rsidR="00A15B50" w:rsidRPr="00546FE0" w:rsidRDefault="00A15B50" w:rsidP="00E42FF3">
            <w:pPr>
              <w:spacing w:after="120"/>
              <w:rPr>
                <w:rFonts w:ascii="Arial Narrow" w:hAnsi="Arial Narrow"/>
              </w:rPr>
            </w:pPr>
            <w:r>
              <w:rPr>
                <w:rFonts w:ascii="Arial Narrow" w:hAnsi="Arial Narrow"/>
              </w:rPr>
              <w:t>Pour le lot 3 Accord-cadre mono-attributaire donnant lieu à la conclusion de marchés subséquents en application du 1° de l’article L. 2125-1 et des articles des articles R. 2162-1 à R. 2162 12 du code de la commande publique</w:t>
            </w:r>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5BDB0B97" w14:textId="4E78C57C"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w:t>
      </w:r>
      <w:r w:rsidR="000B3B2B">
        <w:rPr>
          <w:rFonts w:ascii="Arial Narrow" w:hAnsi="Arial Narrow"/>
          <w:b/>
        </w:rPr>
        <w:t>EPMO-VGE</w:t>
      </w:r>
      <w:r w:rsidRPr="00546FE0">
        <w:rPr>
          <w:rFonts w:ascii="Arial Narrow" w:hAnsi="Arial Narrow"/>
          <w:b/>
        </w:rPr>
        <w:t xml:space="preserve"> et ses missions</w:t>
      </w:r>
    </w:p>
    <w:p w14:paraId="71197766" w14:textId="77777777" w:rsidR="00A15B50" w:rsidRPr="00A15B50" w:rsidRDefault="00A15B50" w:rsidP="00A15B50">
      <w:pPr>
        <w:pStyle w:val="En-tte"/>
        <w:spacing w:after="120" w:line="360" w:lineRule="auto"/>
        <w:jc w:val="both"/>
        <w:rPr>
          <w:rFonts w:ascii="Arial Narrow" w:hAnsi="Arial Narrow"/>
        </w:rPr>
      </w:pPr>
      <w:r w:rsidRPr="00A15B50">
        <w:rPr>
          <w:rFonts w:ascii="Arial Narrow" w:hAnsi="Arial Narrow"/>
        </w:rPr>
        <w:t xml:space="preserve">L’Établissement public du musée d’Orsay et du musée de l’Orangerie (E.P.M.O.) – Valéry Giscard d’Estaing est un établissement public national à caractère administratif depuis le 1er janvier 2004, conformément au décret n°2003-1300 du 26 décembre 2003 (modifié), portant création de l’Établissement public du musée d’Orsay et du musée de l’Orangerie. </w:t>
      </w:r>
    </w:p>
    <w:p w14:paraId="45F0F6F5" w14:textId="790685AD" w:rsidR="000D0217" w:rsidRPr="00546FE0" w:rsidRDefault="00A15B50" w:rsidP="00A15B50">
      <w:pPr>
        <w:pStyle w:val="En-tte"/>
        <w:tabs>
          <w:tab w:val="clear" w:pos="4536"/>
          <w:tab w:val="clear" w:pos="9072"/>
        </w:tabs>
        <w:spacing w:after="120" w:line="360" w:lineRule="auto"/>
        <w:jc w:val="both"/>
        <w:rPr>
          <w:rFonts w:ascii="Arial Narrow" w:hAnsi="Arial Narrow"/>
        </w:rPr>
      </w:pPr>
      <w:r w:rsidRPr="00A15B50">
        <w:rPr>
          <w:rFonts w:ascii="Arial Narrow" w:hAnsi="Arial Narrow"/>
        </w:rPr>
        <w:t>Cet établissement regroupe le musée d’Orsay et le musée de l’Orangerie. Le musée de l’Orangerie a été intégré à l’établissement public par le décret n° 2010-558 du 27 mai 2010</w:t>
      </w:r>
    </w:p>
    <w:p w14:paraId="483EEED8" w14:textId="4E998F48" w:rsidR="000D0217" w:rsidRPr="00546FE0" w:rsidRDefault="00A15B50"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Pr>
          <w:rFonts w:ascii="Arial Narrow" w:hAnsi="Arial Narrow"/>
          <w:b/>
        </w:rPr>
        <w:t>Présentation de l’accord-cadre</w:t>
      </w:r>
    </w:p>
    <w:p w14:paraId="70BB8C77" w14:textId="1D0A7BC5" w:rsidR="0006022E" w:rsidRPr="00546FE0" w:rsidRDefault="00A15B50" w:rsidP="007221BF">
      <w:pPr>
        <w:pStyle w:val="En-tte"/>
        <w:tabs>
          <w:tab w:val="clear" w:pos="4536"/>
          <w:tab w:val="clear" w:pos="9072"/>
        </w:tabs>
        <w:spacing w:after="120" w:line="360" w:lineRule="auto"/>
        <w:jc w:val="both"/>
        <w:rPr>
          <w:rFonts w:ascii="Arial Narrow" w:hAnsi="Arial Narrow"/>
        </w:rPr>
      </w:pPr>
      <w:r>
        <w:rPr>
          <w:rFonts w:ascii="Arial Narrow" w:hAnsi="Arial Narrow"/>
        </w:rPr>
        <w:t xml:space="preserve">L’accord-cadre </w:t>
      </w:r>
      <w:r w:rsidRPr="00A15B50">
        <w:rPr>
          <w:rFonts w:ascii="Arial Narrow" w:hAnsi="Arial Narrow"/>
        </w:rPr>
        <w:t>a pour objet de conclure un marché public portant sur des prestations d’impression de brochures, de magazines, de dépliants, de cartes de vœux et des rapports d’activité de l’EPMO-VGE, pendant toute la durée d’exécution de chacun des lots.</w:t>
      </w: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0390EFBA"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des marchés subséquents</w:t>
      </w:r>
    </w:p>
    <w:p w14:paraId="010BAF96" w14:textId="64EBBE03" w:rsidR="00250343" w:rsidRPr="00546FE0" w:rsidRDefault="0006022E" w:rsidP="0006022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Les marchés subséquents porteront sur les prestations </w:t>
      </w:r>
      <w:r w:rsidR="00DE7E02">
        <w:rPr>
          <w:rFonts w:ascii="Arial Narrow" w:hAnsi="Arial Narrow"/>
        </w:rPr>
        <w:t>décrites au CCTP commun aux trois lots.</w:t>
      </w:r>
      <w:r w:rsidR="00250343">
        <w:rPr>
          <w:rFonts w:ascii="Arial Narrow" w:hAnsi="Arial Narrow"/>
        </w:rPr>
        <w:t xml:space="preserve"> </w:t>
      </w:r>
    </w:p>
    <w:p w14:paraId="1C1C14B3"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Clause de non exclusivité</w:t>
      </w:r>
    </w:p>
    <w:p w14:paraId="7C52D19E" w14:textId="24B686C2" w:rsidR="009D63CC" w:rsidRPr="00546FE0" w:rsidRDefault="0006022E" w:rsidP="0006022E">
      <w:pPr>
        <w:pStyle w:val="Sansinterligne"/>
        <w:spacing w:line="360" w:lineRule="auto"/>
        <w:jc w:val="both"/>
        <w:rPr>
          <w:rFonts w:ascii="Arial Narrow" w:eastAsiaTheme="minorHAnsi" w:hAnsi="Arial Narrow" w:cstheme="minorBidi"/>
          <w:i/>
          <w:color w:val="ED7D31" w:themeColor="accent2"/>
          <w:lang w:eastAsia="en-US"/>
        </w:rPr>
      </w:pPr>
      <w:r w:rsidRPr="00546FE0">
        <w:rPr>
          <w:rFonts w:ascii="Arial Narrow" w:eastAsiaTheme="minorHAnsi" w:hAnsi="Arial Narrow" w:cstheme="minorBidi"/>
          <w:lang w:eastAsia="en-US"/>
        </w:rPr>
        <w:t>L’accord-cadre est non exclusif, l’</w:t>
      </w:r>
      <w:r w:rsidR="000B3B2B">
        <w:rPr>
          <w:rFonts w:ascii="Arial Narrow" w:eastAsiaTheme="minorHAnsi" w:hAnsi="Arial Narrow" w:cstheme="minorBidi"/>
          <w:lang w:eastAsia="en-US"/>
        </w:rPr>
        <w:t>EPMO-VGE</w:t>
      </w:r>
      <w:r w:rsidRPr="00546FE0">
        <w:rPr>
          <w:rFonts w:ascii="Arial Narrow" w:eastAsiaTheme="minorHAnsi" w:hAnsi="Arial Narrow" w:cstheme="minorBidi"/>
          <w:lang w:eastAsia="en-US"/>
        </w:rPr>
        <w:t xml:space="preserve"> se réservant la possibilité de s’adresser à un prestataire extérieur dans les hypothèses alternatives suivantes :</w:t>
      </w:r>
      <w:r w:rsidR="009D63CC" w:rsidRPr="00546FE0">
        <w:rPr>
          <w:rFonts w:ascii="Arial Narrow" w:eastAsiaTheme="minorHAnsi" w:hAnsi="Arial Narrow" w:cstheme="minorBidi"/>
          <w:lang w:eastAsia="en-US"/>
        </w:rPr>
        <w:t xml:space="preserve"> </w:t>
      </w:r>
    </w:p>
    <w:p w14:paraId="10409C41" w14:textId="77777777" w:rsidR="0006022E" w:rsidRPr="00A15B50" w:rsidRDefault="009D63CC" w:rsidP="0006022E">
      <w:pPr>
        <w:pStyle w:val="Sansinterligne"/>
        <w:spacing w:line="360" w:lineRule="auto"/>
        <w:jc w:val="both"/>
        <w:rPr>
          <w:rFonts w:ascii="Arial Narrow" w:eastAsiaTheme="minorHAnsi" w:hAnsi="Arial Narrow" w:cstheme="minorBidi"/>
          <w:lang w:eastAsia="en-US"/>
        </w:rPr>
      </w:pPr>
      <w:r w:rsidRPr="00A15B50">
        <w:rPr>
          <w:rFonts w:ascii="Arial Narrow" w:eastAsiaTheme="minorHAnsi" w:hAnsi="Arial Narrow" w:cstheme="minorBidi"/>
          <w:lang w:eastAsia="en-US"/>
        </w:rPr>
        <w:t>Exemples :</w:t>
      </w:r>
    </w:p>
    <w:p w14:paraId="19B714D9" w14:textId="77777777" w:rsidR="0006022E" w:rsidRPr="00A15B50" w:rsidRDefault="0006022E" w:rsidP="00245388">
      <w:pPr>
        <w:pStyle w:val="Sansinterligne"/>
        <w:numPr>
          <w:ilvl w:val="0"/>
          <w:numId w:val="7"/>
        </w:numPr>
        <w:jc w:val="both"/>
        <w:rPr>
          <w:rFonts w:ascii="Arial Narrow" w:eastAsiaTheme="minorHAnsi" w:hAnsi="Arial Narrow" w:cstheme="minorBidi"/>
          <w:lang w:eastAsia="en-US"/>
        </w:rPr>
      </w:pPr>
      <w:r w:rsidRPr="00A15B50">
        <w:rPr>
          <w:rFonts w:ascii="Arial Narrow" w:eastAsiaTheme="minorHAnsi" w:hAnsi="Arial Narrow" w:cstheme="minorBidi"/>
          <w:lang w:eastAsia="en-US"/>
        </w:rPr>
        <w:t>Absence de réponse lors de la remise en concurrence des titulaires de l’accord-cadre pour l’attribution des marchés subséquents ;</w:t>
      </w:r>
    </w:p>
    <w:p w14:paraId="1FA79B41" w14:textId="5EEAEE90" w:rsidR="0006022E" w:rsidRPr="00A15B50" w:rsidRDefault="0006022E" w:rsidP="00245388">
      <w:pPr>
        <w:pStyle w:val="Sansinterligne"/>
        <w:numPr>
          <w:ilvl w:val="0"/>
          <w:numId w:val="7"/>
        </w:numPr>
        <w:jc w:val="both"/>
        <w:rPr>
          <w:rFonts w:ascii="Arial Narrow" w:eastAsiaTheme="minorHAnsi" w:hAnsi="Arial Narrow" w:cstheme="minorBidi"/>
          <w:lang w:eastAsia="en-US"/>
        </w:rPr>
      </w:pPr>
      <w:r w:rsidRPr="00A15B50">
        <w:rPr>
          <w:rFonts w:ascii="Arial Narrow" w:eastAsiaTheme="minorHAnsi" w:hAnsi="Arial Narrow" w:cstheme="minorBidi"/>
          <w:lang w:eastAsia="en-US"/>
        </w:rPr>
        <w:t>Incapacité d</w:t>
      </w:r>
      <w:r w:rsidR="00A15B50" w:rsidRPr="00A15B50">
        <w:rPr>
          <w:rFonts w:ascii="Arial Narrow" w:eastAsiaTheme="minorHAnsi" w:hAnsi="Arial Narrow" w:cstheme="minorBidi"/>
          <w:lang w:eastAsia="en-US"/>
        </w:rPr>
        <w:t>u ou des titulaires</w:t>
      </w:r>
      <w:r w:rsidRPr="00A15B50">
        <w:rPr>
          <w:rFonts w:ascii="Arial Narrow" w:eastAsiaTheme="minorHAnsi" w:hAnsi="Arial Narrow" w:cstheme="minorBidi"/>
          <w:lang w:eastAsia="en-US"/>
        </w:rPr>
        <w:t xml:space="preserve"> d’exécuter les prestations</w:t>
      </w:r>
      <w:r w:rsidR="009D63CC" w:rsidRPr="00A15B50">
        <w:rPr>
          <w:rFonts w:ascii="Arial Narrow" w:eastAsiaTheme="minorHAnsi" w:hAnsi="Arial Narrow" w:cstheme="minorBidi"/>
          <w:lang w:eastAsia="en-US"/>
        </w:rPr>
        <w:t> ;</w:t>
      </w:r>
      <w:r w:rsidRPr="00A15B50">
        <w:rPr>
          <w:rFonts w:ascii="Arial Narrow" w:eastAsiaTheme="minorHAnsi" w:hAnsi="Arial Narrow" w:cstheme="minorBidi"/>
          <w:lang w:eastAsia="en-US"/>
        </w:rPr>
        <w:t xml:space="preserve"> </w:t>
      </w:r>
    </w:p>
    <w:p w14:paraId="7BFBDEF5" w14:textId="507FCF3A" w:rsidR="0006022E" w:rsidRPr="00546FE0" w:rsidRDefault="0006022E" w:rsidP="00A15B50">
      <w:pPr>
        <w:pStyle w:val="Sansinterligne"/>
        <w:ind w:left="720"/>
        <w:jc w:val="both"/>
        <w:rPr>
          <w:rFonts w:ascii="Arial Narrow" w:eastAsiaTheme="minorHAnsi" w:hAnsi="Arial Narrow" w:cstheme="minorBidi"/>
          <w:i/>
          <w:color w:val="ED7D31" w:themeColor="accent2"/>
          <w:lang w:eastAsia="en-US"/>
        </w:rPr>
      </w:pPr>
    </w:p>
    <w:p w14:paraId="08A54EC0" w14:textId="77777777" w:rsidR="00257918" w:rsidRPr="00546FE0" w:rsidRDefault="00257918" w:rsidP="00257918">
      <w:pPr>
        <w:pStyle w:val="En-tte"/>
        <w:tabs>
          <w:tab w:val="clear" w:pos="4536"/>
          <w:tab w:val="clear" w:pos="9072"/>
        </w:tabs>
        <w:spacing w:after="24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77777777"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60ECD248"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0F0A766B"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w:t>
      </w:r>
      <w:r w:rsidR="000B3B2B">
        <w:rPr>
          <w:rFonts w:ascii="Arial Narrow" w:hAnsi="Arial Narrow"/>
          <w:b/>
        </w:rPr>
        <w:t>EPMO-VGE</w:t>
      </w:r>
    </w:p>
    <w:p w14:paraId="5871B6BB" w14:textId="0B0316E1" w:rsidR="00A15B50" w:rsidRDefault="00D9355E" w:rsidP="00A15B50">
      <w:pPr>
        <w:pStyle w:val="En-tte"/>
        <w:spacing w:after="120" w:line="360" w:lineRule="auto"/>
        <w:jc w:val="both"/>
        <w:rPr>
          <w:rFonts w:ascii="Arial Narrow" w:hAnsi="Arial Narrow"/>
        </w:rPr>
      </w:pPr>
      <w:r w:rsidRPr="00546FE0">
        <w:rPr>
          <w:rFonts w:ascii="Arial Narrow" w:hAnsi="Arial Narrow"/>
        </w:rPr>
        <w:lastRenderedPageBreak/>
        <w:t xml:space="preserve">Le suivi des prestations est assuré par le </w:t>
      </w:r>
      <w:r w:rsidR="00A15B50">
        <w:rPr>
          <w:rFonts w:ascii="Arial Narrow" w:hAnsi="Arial Narrow"/>
        </w:rPr>
        <w:t xml:space="preserve">Directrice des éditions, </w:t>
      </w:r>
      <w:r w:rsidRPr="00546FE0">
        <w:rPr>
          <w:rFonts w:ascii="Arial Narrow" w:hAnsi="Arial Narrow"/>
        </w:rPr>
        <w:t xml:space="preserve">Mme </w:t>
      </w:r>
      <w:r w:rsidR="00A15B50">
        <w:rPr>
          <w:rFonts w:ascii="Arial Narrow" w:hAnsi="Arial Narrow"/>
        </w:rPr>
        <w:t xml:space="preserve">Marie-Caroline </w:t>
      </w:r>
      <w:proofErr w:type="spellStart"/>
      <w:r w:rsidR="00A15B50">
        <w:rPr>
          <w:rFonts w:ascii="Arial Narrow" w:hAnsi="Arial Narrow"/>
        </w:rPr>
        <w:t>Dufayet</w:t>
      </w:r>
      <w:proofErr w:type="spellEnd"/>
      <w:r w:rsidRPr="00546FE0">
        <w:rPr>
          <w:rFonts w:ascii="Arial Narrow" w:hAnsi="Arial Narrow"/>
        </w:rPr>
        <w:t xml:space="preserve"> </w:t>
      </w:r>
      <w:r w:rsidR="00376A8E" w:rsidRPr="00546FE0">
        <w:rPr>
          <w:rFonts w:ascii="Arial Narrow" w:hAnsi="Arial Narrow"/>
        </w:rPr>
        <w:t xml:space="preserve">ou </w:t>
      </w:r>
      <w:r w:rsidRPr="00546FE0">
        <w:rPr>
          <w:rFonts w:ascii="Arial Narrow" w:hAnsi="Arial Narrow"/>
        </w:rPr>
        <w:t>son représentant dûment habilité</w:t>
      </w:r>
      <w:r w:rsidR="00A15B50">
        <w:rPr>
          <w:rFonts w:ascii="Arial Narrow" w:hAnsi="Arial Narrow"/>
        </w:rPr>
        <w:t xml:space="preserve"> à cet effet en la personne de Constance Fougère chargée des affaires juridiques et financières de la Direction des Editions</w:t>
      </w:r>
    </w:p>
    <w:p w14:paraId="4E64DA80" w14:textId="47C44195" w:rsidR="00D9355E" w:rsidRPr="00546FE0" w:rsidRDefault="00D9355E" w:rsidP="00D9355E">
      <w:pPr>
        <w:pStyle w:val="En-tte"/>
        <w:spacing w:after="120" w:line="360" w:lineRule="auto"/>
        <w:jc w:val="both"/>
        <w:rPr>
          <w:rFonts w:ascii="Arial Narrow" w:hAnsi="Arial Narrow"/>
        </w:rPr>
      </w:pP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25ACF226"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0B3B2B">
        <w:rPr>
          <w:rFonts w:ascii="Arial Narrow" w:hAnsi="Arial Narrow"/>
        </w:rPr>
        <w:t>EPMO-VGE</w:t>
      </w:r>
      <w:r w:rsidR="00376A8E" w:rsidRPr="00546FE0">
        <w:rPr>
          <w:rFonts w:ascii="Arial Narrow" w:hAnsi="Arial Narrow"/>
        </w:rPr>
        <w:t>.</w:t>
      </w:r>
    </w:p>
    <w:p w14:paraId="301551C6" w14:textId="6A013DDB" w:rsidR="005D555E" w:rsidRPr="00A15B50" w:rsidRDefault="00D9355E" w:rsidP="00A15B50">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0B3B2B">
        <w:rPr>
          <w:rFonts w:ascii="Arial Narrow" w:hAnsi="Arial Narrow"/>
        </w:rPr>
        <w:t>EPMO-VGE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w:t>
      </w:r>
      <w:r w:rsidR="000B3B2B">
        <w:rPr>
          <w:rFonts w:ascii="Arial Narrow" w:hAnsi="Arial Narrow"/>
        </w:rPr>
        <w:t>EPMO-VGE</w:t>
      </w:r>
      <w:r w:rsidR="00DC2FA3" w:rsidRPr="00546FE0">
        <w:rPr>
          <w:rFonts w:ascii="Arial Narrow" w:hAnsi="Arial Narrow"/>
        </w:rPr>
        <w:t xml:space="preserve"> dans les plus brefs délais.</w:t>
      </w: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2B57EE44"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de passation des marchés subséquents</w:t>
      </w:r>
    </w:p>
    <w:p w14:paraId="675C8077" w14:textId="77777777" w:rsidR="005D555E" w:rsidRPr="00546FE0" w:rsidRDefault="005D555E" w:rsidP="005D555E">
      <w:pPr>
        <w:pStyle w:val="En-tte"/>
        <w:spacing w:after="120" w:line="360" w:lineRule="auto"/>
        <w:rPr>
          <w:rFonts w:ascii="Arial Narrow" w:hAnsi="Arial Narrow"/>
          <w:i/>
          <w:u w:val="single"/>
        </w:rPr>
      </w:pPr>
      <w:r w:rsidRPr="00546FE0">
        <w:rPr>
          <w:rFonts w:ascii="Arial Narrow" w:hAnsi="Arial Narrow"/>
          <w:i/>
          <w:u w:val="single"/>
        </w:rPr>
        <w:t>5.3.1. Rappel des obligations du/des titulaire</w:t>
      </w:r>
    </w:p>
    <w:p w14:paraId="78CAAF1E" w14:textId="647DCF1A" w:rsidR="005D555E" w:rsidRDefault="00C03C82" w:rsidP="005D555E">
      <w:pPr>
        <w:pStyle w:val="En-tte"/>
        <w:spacing w:after="120" w:line="360" w:lineRule="auto"/>
        <w:jc w:val="both"/>
        <w:rPr>
          <w:rFonts w:ascii="Arial Narrow" w:hAnsi="Arial Narrow"/>
        </w:rPr>
      </w:pPr>
      <w:r>
        <w:rPr>
          <w:rFonts w:ascii="Arial Narrow" w:hAnsi="Arial Narrow"/>
        </w:rPr>
        <w:t>Pour chacun des lots, le</w:t>
      </w:r>
      <w:r w:rsidR="005D555E" w:rsidRPr="00546FE0">
        <w:rPr>
          <w:rFonts w:ascii="Arial Narrow" w:hAnsi="Arial Narrow"/>
        </w:rPr>
        <w:t>/les titulaires s’engagent à faire des offres régulières, acceptables et appropriées lorsqu’il/ils sera/seront sollicité/s pour les marchés subséquents. Il appartient en effet au titulaire/aux titulaires de prendre tous les mesures pour faire face à l’engagement pris lors de la signature de l’accord-cadre.</w:t>
      </w:r>
    </w:p>
    <w:p w14:paraId="497EFD60" w14:textId="42A2C727" w:rsidR="0065688F" w:rsidRPr="0065688F" w:rsidRDefault="0065688F" w:rsidP="0065688F">
      <w:pPr>
        <w:pStyle w:val="En-tte"/>
        <w:spacing w:line="360" w:lineRule="auto"/>
        <w:rPr>
          <w:rFonts w:ascii="Arial Narrow" w:hAnsi="Arial Narrow"/>
          <w:i/>
          <w:u w:val="single"/>
        </w:rPr>
      </w:pPr>
      <w:r w:rsidRPr="00546FE0">
        <w:rPr>
          <w:rFonts w:ascii="Arial Narrow" w:hAnsi="Arial Narrow"/>
          <w:i/>
          <w:u w:val="single"/>
        </w:rPr>
        <w:t xml:space="preserve">5.3.2. </w:t>
      </w:r>
      <w:r w:rsidR="00DA5349">
        <w:rPr>
          <w:rFonts w:ascii="Arial Narrow" w:hAnsi="Arial Narrow"/>
          <w:i/>
          <w:u w:val="single"/>
        </w:rPr>
        <w:t>Prix des</w:t>
      </w:r>
      <w:r w:rsidRPr="00546FE0">
        <w:rPr>
          <w:rFonts w:ascii="Arial Narrow" w:hAnsi="Arial Narrow"/>
          <w:i/>
          <w:u w:val="single"/>
        </w:rPr>
        <w:t xml:space="preserve"> marchés subséquents</w:t>
      </w:r>
    </w:p>
    <w:p w14:paraId="12AD061E" w14:textId="24929228" w:rsidR="005D555E" w:rsidRPr="00546FE0" w:rsidRDefault="00EA23D7" w:rsidP="005D555E">
      <w:pPr>
        <w:pStyle w:val="En-tte"/>
        <w:spacing w:line="360" w:lineRule="auto"/>
        <w:jc w:val="both"/>
        <w:rPr>
          <w:rFonts w:ascii="Arial Narrow" w:hAnsi="Arial Narrow"/>
        </w:rPr>
      </w:pPr>
      <w:r>
        <w:rPr>
          <w:rFonts w:ascii="Arial Narrow" w:hAnsi="Arial Narrow"/>
          <w:u w:val="single"/>
        </w:rPr>
        <w:t>Dans le cas où les</w:t>
      </w:r>
      <w:r w:rsidRPr="00EA23D7">
        <w:rPr>
          <w:rFonts w:ascii="Arial Narrow" w:hAnsi="Arial Narrow"/>
          <w:u w:val="single"/>
        </w:rPr>
        <w:t xml:space="preserve"> caractéristiques des prestations demandées </w:t>
      </w:r>
      <w:r>
        <w:rPr>
          <w:rFonts w:ascii="Arial Narrow" w:hAnsi="Arial Narrow"/>
          <w:u w:val="single"/>
        </w:rPr>
        <w:t xml:space="preserve">dans le marché subséquent </w:t>
      </w:r>
      <w:r w:rsidRPr="00EA23D7">
        <w:rPr>
          <w:rFonts w:ascii="Arial Narrow" w:hAnsi="Arial Narrow"/>
          <w:u w:val="single"/>
        </w:rPr>
        <w:t>correspondent en tout point à celles indiquées en colonnes A et B du référentiel pour les prix plafonds</w:t>
      </w:r>
      <w:r>
        <w:rPr>
          <w:rFonts w:ascii="Arial Narrow" w:hAnsi="Arial Narrow"/>
          <w:u w:val="single"/>
        </w:rPr>
        <w:t xml:space="preserve"> annexé à l’accord-cadre</w:t>
      </w:r>
      <w:r w:rsidRPr="00EA23D7">
        <w:rPr>
          <w:rFonts w:ascii="Arial Narrow" w:hAnsi="Arial Narrow"/>
          <w:u w:val="single"/>
        </w:rPr>
        <w:t>, les prix indiqués dans le devis remis par le</w:t>
      </w:r>
      <w:r>
        <w:rPr>
          <w:rFonts w:ascii="Arial Narrow" w:hAnsi="Arial Narrow"/>
          <w:u w:val="single"/>
        </w:rPr>
        <w:t>/les</w:t>
      </w:r>
      <w:r w:rsidRPr="00EA23D7">
        <w:rPr>
          <w:rFonts w:ascii="Arial Narrow" w:hAnsi="Arial Narrow"/>
          <w:u w:val="single"/>
        </w:rPr>
        <w:t xml:space="preserve"> titulaire</w:t>
      </w:r>
      <w:r>
        <w:rPr>
          <w:rFonts w:ascii="Arial Narrow" w:hAnsi="Arial Narrow"/>
          <w:u w:val="single"/>
        </w:rPr>
        <w:t>/s</w:t>
      </w:r>
      <w:r w:rsidRPr="00EA23D7">
        <w:rPr>
          <w:rFonts w:ascii="Arial Narrow" w:hAnsi="Arial Narrow"/>
          <w:u w:val="single"/>
        </w:rPr>
        <w:t xml:space="preserve"> ne pourront en aucun dépasser ces derniers).</w:t>
      </w:r>
      <w:r w:rsidR="005D555E" w:rsidRPr="00546FE0">
        <w:rPr>
          <w:rFonts w:ascii="Arial Narrow" w:hAnsi="Arial Narrow"/>
        </w:rPr>
        <w:t xml:space="preserve"> Néanmoins, des prix complémentaires liés aux prestations qui n’auraient pu être anticipées au moment de la conclusion de l’accord-cadre pourront être proposés par le titulaire dans son offre. Il est rappelé que ces prestations relèveront nécessairement du périmètre du présent accord-cadre.</w:t>
      </w:r>
    </w:p>
    <w:p w14:paraId="12D055E3" w14:textId="61BBD82D" w:rsidR="005D555E" w:rsidRDefault="00A11B7D" w:rsidP="005D555E">
      <w:pPr>
        <w:pStyle w:val="En-tte"/>
        <w:spacing w:line="360" w:lineRule="auto"/>
        <w:rPr>
          <w:rFonts w:ascii="Arial Narrow" w:hAnsi="Arial Narrow"/>
        </w:rPr>
      </w:pPr>
      <w:r w:rsidRPr="00A11B7D">
        <w:rPr>
          <w:rFonts w:ascii="Arial Narrow" w:hAnsi="Arial Narrow"/>
        </w:rPr>
        <w:t xml:space="preserve">Les marchés </w:t>
      </w:r>
      <w:r>
        <w:rPr>
          <w:rFonts w:ascii="Arial Narrow" w:hAnsi="Arial Narrow"/>
        </w:rPr>
        <w:t xml:space="preserve">subséquents </w:t>
      </w:r>
      <w:r w:rsidRPr="00A11B7D">
        <w:rPr>
          <w:rFonts w:ascii="Arial Narrow" w:hAnsi="Arial Narrow"/>
        </w:rPr>
        <w:t>comportent un montant global forfaitaire que les titulaires sont tenus de respecter</w:t>
      </w:r>
      <w:r>
        <w:rPr>
          <w:rFonts w:ascii="Arial Narrow" w:hAnsi="Arial Narrow"/>
        </w:rPr>
        <w:t>.</w:t>
      </w:r>
    </w:p>
    <w:p w14:paraId="79299C0D" w14:textId="77777777" w:rsidR="00833004" w:rsidRPr="00546FE0" w:rsidRDefault="00833004" w:rsidP="005D555E">
      <w:pPr>
        <w:pStyle w:val="En-tte"/>
        <w:spacing w:line="360" w:lineRule="auto"/>
        <w:rPr>
          <w:rFonts w:ascii="Arial Narrow" w:hAnsi="Arial Narrow"/>
        </w:rPr>
      </w:pPr>
    </w:p>
    <w:p w14:paraId="5D7BA6A7" w14:textId="77777777" w:rsidR="005D555E" w:rsidRPr="00546FE0" w:rsidRDefault="005D555E" w:rsidP="005D555E">
      <w:pPr>
        <w:pStyle w:val="En-tte"/>
        <w:spacing w:line="360" w:lineRule="auto"/>
        <w:rPr>
          <w:rFonts w:ascii="Arial Narrow" w:hAnsi="Arial Narrow"/>
          <w:i/>
          <w:u w:val="single"/>
        </w:rPr>
      </w:pPr>
      <w:r w:rsidRPr="00546FE0">
        <w:rPr>
          <w:rFonts w:ascii="Arial Narrow" w:hAnsi="Arial Narrow"/>
          <w:i/>
          <w:u w:val="single"/>
        </w:rPr>
        <w:t>5.3.2. Conclusion des marchés subséquents</w:t>
      </w:r>
    </w:p>
    <w:p w14:paraId="6BB52F8E" w14:textId="54275ACC" w:rsidR="005D555E" w:rsidRDefault="005D555E" w:rsidP="00426B67">
      <w:pPr>
        <w:pStyle w:val="En-tte"/>
        <w:spacing w:after="120" w:line="360" w:lineRule="auto"/>
        <w:jc w:val="both"/>
        <w:rPr>
          <w:rFonts w:ascii="Arial Narrow" w:hAnsi="Arial Narrow"/>
        </w:rPr>
      </w:pPr>
      <w:r w:rsidRPr="00546FE0">
        <w:rPr>
          <w:rFonts w:ascii="Arial Narrow" w:hAnsi="Arial Narrow"/>
        </w:rPr>
        <w:t>Les marchés subséquents pourront être conclus tout au long de la vie de l’accord-cadre jusqu’au dernier jour de sa validité. Cependant, le délai d’exécution des prestations ne saurait faire excéder de manière excessive la durée contractuelle de l’accord-cadre.</w:t>
      </w:r>
    </w:p>
    <w:p w14:paraId="04D32CF0" w14:textId="77777777" w:rsidR="00EA23D7" w:rsidRDefault="00EA23D7" w:rsidP="00426B67">
      <w:pPr>
        <w:pStyle w:val="En-tte"/>
        <w:spacing w:after="120" w:line="360" w:lineRule="auto"/>
        <w:jc w:val="both"/>
        <w:rPr>
          <w:rFonts w:ascii="Arial Narrow" w:hAnsi="Arial Narrow"/>
        </w:rPr>
      </w:pPr>
    </w:p>
    <w:p w14:paraId="1A46E76A" w14:textId="42A25246" w:rsidR="00C272A3" w:rsidRDefault="00C272A3" w:rsidP="00C03C82">
      <w:pPr>
        <w:pStyle w:val="En-tte"/>
        <w:spacing w:after="120" w:line="360" w:lineRule="auto"/>
        <w:ind w:left="720"/>
        <w:rPr>
          <w:rFonts w:ascii="Arial Narrow" w:hAnsi="Arial Narrow"/>
          <w:i/>
          <w:color w:val="ED7D31" w:themeColor="accent2"/>
        </w:rPr>
      </w:pPr>
    </w:p>
    <w:p w14:paraId="6DCBE44E" w14:textId="0769EBFC" w:rsidR="00C03C82" w:rsidRPr="00C03C82" w:rsidRDefault="00C03C82" w:rsidP="006528A6">
      <w:pPr>
        <w:pStyle w:val="En-tte"/>
        <w:spacing w:after="120" w:line="360" w:lineRule="auto"/>
        <w:jc w:val="both"/>
        <w:rPr>
          <w:rFonts w:ascii="Arial Narrow" w:hAnsi="Arial Narrow"/>
          <w:b/>
          <w:u w:val="single"/>
        </w:rPr>
      </w:pPr>
      <w:r w:rsidRPr="00C03C82">
        <w:rPr>
          <w:rFonts w:ascii="Arial Narrow" w:hAnsi="Arial Narrow"/>
          <w:b/>
          <w:u w:val="single"/>
        </w:rPr>
        <w:t>Pour les lot 1 et 2 :</w:t>
      </w:r>
    </w:p>
    <w:p w14:paraId="6D4E6851" w14:textId="74959556" w:rsidR="005D555E" w:rsidRPr="00546FE0" w:rsidRDefault="005D555E" w:rsidP="006528A6">
      <w:pPr>
        <w:pStyle w:val="En-tte"/>
        <w:spacing w:after="120" w:line="360" w:lineRule="auto"/>
        <w:jc w:val="both"/>
        <w:rPr>
          <w:rFonts w:ascii="Arial Narrow" w:hAnsi="Arial Narrow"/>
        </w:rPr>
      </w:pPr>
      <w:r w:rsidRPr="00546FE0">
        <w:rPr>
          <w:rFonts w:ascii="Arial Narrow" w:hAnsi="Arial Narrow"/>
        </w:rPr>
        <w:t>Pour la conclusion de marchés subséquents</w:t>
      </w:r>
      <w:r w:rsidR="00F3541F">
        <w:rPr>
          <w:rFonts w:ascii="Arial Narrow" w:hAnsi="Arial Narrow"/>
        </w:rPr>
        <w:t xml:space="preserve"> des lots 1 et 2</w:t>
      </w:r>
      <w:r w:rsidRPr="00546FE0">
        <w:rPr>
          <w:rFonts w:ascii="Arial Narrow" w:hAnsi="Arial Narrow"/>
        </w:rPr>
        <w:t xml:space="preserve">, une remise en concurrence sera organisée auprès des titulaires de </w:t>
      </w:r>
      <w:r w:rsidR="00833004">
        <w:rPr>
          <w:rFonts w:ascii="Arial Narrow" w:hAnsi="Arial Narrow"/>
        </w:rPr>
        <w:t>chaque lot</w:t>
      </w:r>
      <w:r w:rsidR="006528A6" w:rsidRPr="00546FE0">
        <w:rPr>
          <w:rFonts w:ascii="Arial Narrow" w:hAnsi="Arial Narrow"/>
        </w:rPr>
        <w:t xml:space="preserve"> et s’effectuera via le profil d’acheteur PLACE, selon les </w:t>
      </w:r>
      <w:r w:rsidRPr="00546FE0">
        <w:rPr>
          <w:rFonts w:ascii="Arial Narrow" w:hAnsi="Arial Narrow"/>
        </w:rPr>
        <w:t xml:space="preserve">étapes </w:t>
      </w:r>
      <w:r w:rsidR="006528A6" w:rsidRPr="00546FE0">
        <w:rPr>
          <w:rFonts w:ascii="Arial Narrow" w:hAnsi="Arial Narrow"/>
        </w:rPr>
        <w:t>ci-dessous</w:t>
      </w:r>
      <w:r w:rsidRPr="00546FE0">
        <w:rPr>
          <w:rFonts w:ascii="Arial Narrow" w:hAnsi="Arial Narrow"/>
        </w:rPr>
        <w:t> :</w:t>
      </w:r>
    </w:p>
    <w:p w14:paraId="7404DAD7" w14:textId="5C12C4DC" w:rsidR="006528A6" w:rsidRPr="00546FE0" w:rsidRDefault="006528A6" w:rsidP="00245388">
      <w:pPr>
        <w:pStyle w:val="En-tte"/>
        <w:numPr>
          <w:ilvl w:val="0"/>
          <w:numId w:val="11"/>
        </w:numPr>
        <w:spacing w:after="120" w:line="360" w:lineRule="auto"/>
        <w:rPr>
          <w:rFonts w:ascii="Arial Narrow" w:hAnsi="Arial Narrow"/>
        </w:rPr>
      </w:pPr>
      <w:r w:rsidRPr="00546FE0">
        <w:rPr>
          <w:rFonts w:ascii="Arial Narrow" w:hAnsi="Arial Narrow"/>
          <w:u w:val="single"/>
        </w:rPr>
        <w:t>L’</w:t>
      </w:r>
      <w:r w:rsidR="000B3B2B">
        <w:rPr>
          <w:rFonts w:ascii="Arial Narrow" w:hAnsi="Arial Narrow"/>
          <w:u w:val="single"/>
        </w:rPr>
        <w:t>EPMO-VGE</w:t>
      </w:r>
      <w:r w:rsidRPr="00546FE0">
        <w:rPr>
          <w:rFonts w:ascii="Arial Narrow" w:hAnsi="Arial Narrow"/>
          <w:u w:val="single"/>
        </w:rPr>
        <w:t xml:space="preserve"> communiquera aux titulaires</w:t>
      </w:r>
      <w:r w:rsidR="00C272A3">
        <w:rPr>
          <w:rFonts w:ascii="Arial Narrow" w:hAnsi="Arial Narrow"/>
          <w:u w:val="single"/>
        </w:rPr>
        <w:t xml:space="preserve"> une demande de devis précisant</w:t>
      </w:r>
      <w:r w:rsidRPr="00546FE0">
        <w:rPr>
          <w:rFonts w:ascii="Arial Narrow" w:hAnsi="Arial Narrow"/>
        </w:rPr>
        <w:t xml:space="preserve"> : </w:t>
      </w:r>
    </w:p>
    <w:p w14:paraId="794C6E33" w14:textId="4001E2E4" w:rsidR="005D555E" w:rsidRDefault="00C272A3" w:rsidP="00245388">
      <w:pPr>
        <w:pStyle w:val="En-tte"/>
        <w:numPr>
          <w:ilvl w:val="0"/>
          <w:numId w:val="9"/>
        </w:numPr>
        <w:spacing w:after="120" w:line="360" w:lineRule="auto"/>
        <w:jc w:val="both"/>
        <w:rPr>
          <w:rFonts w:ascii="Arial Narrow" w:hAnsi="Arial Narrow"/>
        </w:rPr>
      </w:pPr>
      <w:r>
        <w:rPr>
          <w:rFonts w:ascii="Arial Narrow" w:hAnsi="Arial Narrow"/>
        </w:rPr>
        <w:t>Le</w:t>
      </w:r>
      <w:r w:rsidR="00F3541F">
        <w:rPr>
          <w:rFonts w:ascii="Arial Narrow" w:hAnsi="Arial Narrow"/>
        </w:rPr>
        <w:t>s informations spécifiques et les caractéristiques techniques des prestations attendues (format, papier, etc…) ;</w:t>
      </w:r>
    </w:p>
    <w:p w14:paraId="3B2F3CBF" w14:textId="35A829AC" w:rsidR="00F3541F" w:rsidRPr="00F3541F" w:rsidRDefault="00F3541F" w:rsidP="00F3541F">
      <w:pPr>
        <w:pStyle w:val="En-tte"/>
        <w:numPr>
          <w:ilvl w:val="0"/>
          <w:numId w:val="9"/>
        </w:numPr>
        <w:spacing w:after="120" w:line="360" w:lineRule="auto"/>
        <w:jc w:val="both"/>
        <w:rPr>
          <w:rFonts w:ascii="Arial Narrow" w:hAnsi="Arial Narrow"/>
        </w:rPr>
      </w:pPr>
      <w:r w:rsidRPr="00F3541F">
        <w:rPr>
          <w:rFonts w:ascii="Arial Narrow" w:hAnsi="Arial Narrow"/>
        </w:rPr>
        <w:t>Les quantités demandées, les délais et les lieux de livraison,</w:t>
      </w:r>
    </w:p>
    <w:p w14:paraId="37CD8D74" w14:textId="70738B25" w:rsidR="00C03C82" w:rsidRPr="00C03C82" w:rsidRDefault="00C272A3" w:rsidP="00C03C82">
      <w:pPr>
        <w:pStyle w:val="En-tte"/>
        <w:spacing w:after="120" w:line="360" w:lineRule="auto"/>
        <w:ind w:left="1065"/>
        <w:jc w:val="both"/>
        <w:rPr>
          <w:rFonts w:ascii="Arial Narrow" w:hAnsi="Arial Narrow"/>
        </w:rPr>
      </w:pPr>
      <w:r w:rsidRPr="00F3541F">
        <w:rPr>
          <w:rFonts w:ascii="Arial Narrow" w:hAnsi="Arial Narrow"/>
        </w:rPr>
        <w:t>Le</w:t>
      </w:r>
      <w:r w:rsidR="00F3541F" w:rsidRPr="00F3541F">
        <w:rPr>
          <w:rFonts w:ascii="Arial Narrow" w:hAnsi="Arial Narrow"/>
        </w:rPr>
        <w:t xml:space="preserve"> délai laissé aux titulaires de l’accord-cadre pour adresser leur devis</w:t>
      </w:r>
    </w:p>
    <w:p w14:paraId="0B6066B2" w14:textId="17CFFBDF" w:rsidR="00C03C82" w:rsidRPr="00EA23D7" w:rsidRDefault="005D555E" w:rsidP="00EA23D7">
      <w:pPr>
        <w:pStyle w:val="En-tte"/>
        <w:numPr>
          <w:ilvl w:val="3"/>
          <w:numId w:val="9"/>
        </w:numPr>
        <w:spacing w:after="120" w:line="360" w:lineRule="auto"/>
        <w:ind w:left="709"/>
        <w:jc w:val="both"/>
        <w:rPr>
          <w:rFonts w:ascii="Arial Narrow" w:hAnsi="Arial Narrow"/>
        </w:rPr>
      </w:pPr>
      <w:r w:rsidRPr="00C03C82">
        <w:rPr>
          <w:rFonts w:ascii="Arial Narrow" w:hAnsi="Arial Narrow"/>
          <w:u w:val="single"/>
        </w:rPr>
        <w:t xml:space="preserve">Sur la base de ce dossier, les titulaires remettront une </w:t>
      </w:r>
      <w:r w:rsidR="00C272A3" w:rsidRPr="00C03C82">
        <w:rPr>
          <w:rFonts w:ascii="Arial Narrow" w:hAnsi="Arial Narrow"/>
          <w:u w:val="single"/>
        </w:rPr>
        <w:t>proposition de devis détaillé</w:t>
      </w:r>
      <w:r w:rsidR="00C03C82">
        <w:rPr>
          <w:rFonts w:ascii="Arial Narrow" w:hAnsi="Arial Narrow"/>
        </w:rPr>
        <w:t>. (</w:t>
      </w:r>
      <w:r w:rsidR="00C03C82" w:rsidRPr="00C03C82">
        <w:rPr>
          <w:rFonts w:ascii="Arial Narrow" w:hAnsi="Arial Narrow"/>
        </w:rPr>
        <w:t>Si les prestations demandées correspondent à celles figurant dans le DQE</w:t>
      </w:r>
      <w:r w:rsidR="00C03C82">
        <w:rPr>
          <w:rFonts w:ascii="Arial Narrow" w:hAnsi="Arial Narrow"/>
        </w:rPr>
        <w:t xml:space="preserve"> dédié au lot concerné</w:t>
      </w:r>
      <w:r w:rsidR="00C03C82" w:rsidRPr="00C03C82">
        <w:rPr>
          <w:rFonts w:ascii="Arial Narrow" w:hAnsi="Arial Narrow"/>
        </w:rPr>
        <w:t>, servant de référence pour</w:t>
      </w:r>
      <w:r w:rsidR="00C03C82">
        <w:rPr>
          <w:rFonts w:ascii="Arial Narrow" w:hAnsi="Arial Narrow"/>
        </w:rPr>
        <w:t xml:space="preserve"> les prix plafonds, les prix </w:t>
      </w:r>
      <w:r w:rsidR="00C03C82" w:rsidRPr="00C03C82">
        <w:rPr>
          <w:rFonts w:ascii="Arial Narrow" w:hAnsi="Arial Narrow"/>
        </w:rPr>
        <w:t xml:space="preserve">indiqués dans le devis </w:t>
      </w:r>
      <w:r w:rsidR="00C03C82">
        <w:rPr>
          <w:rFonts w:ascii="Arial Narrow" w:hAnsi="Arial Narrow"/>
        </w:rPr>
        <w:t xml:space="preserve">remis par chaque titulaire </w:t>
      </w:r>
      <w:r w:rsidR="00C03C82" w:rsidRPr="00C03C82">
        <w:rPr>
          <w:rFonts w:ascii="Arial Narrow" w:hAnsi="Arial Narrow"/>
        </w:rPr>
        <w:t>ne pourront en aucun cas les dépasser</w:t>
      </w:r>
      <w:r w:rsidR="00C03C82">
        <w:rPr>
          <w:rFonts w:ascii="Arial Narrow" w:hAnsi="Arial Narrow"/>
        </w:rPr>
        <w:t>).</w:t>
      </w:r>
    </w:p>
    <w:p w14:paraId="14D4EB17" w14:textId="232BA963" w:rsidR="00C03C82" w:rsidRPr="00C03C82" w:rsidRDefault="00C03C82" w:rsidP="00C03C82">
      <w:pPr>
        <w:pStyle w:val="5Normal"/>
        <w:ind w:left="0" w:right="-2"/>
        <w:rPr>
          <w:rFonts w:ascii="Arial Narrow" w:hAnsi="Arial Narrow"/>
          <w:sz w:val="22"/>
          <w:szCs w:val="20"/>
        </w:rPr>
      </w:pPr>
      <w:r>
        <w:rPr>
          <w:rFonts w:ascii="Arial Narrow" w:hAnsi="Arial Narrow"/>
          <w:sz w:val="22"/>
          <w:szCs w:val="20"/>
        </w:rPr>
        <w:t>Par ailleurs, il est précisé que l</w:t>
      </w:r>
      <w:r w:rsidRPr="00C03C82">
        <w:rPr>
          <w:rFonts w:ascii="Arial Narrow" w:hAnsi="Arial Narrow"/>
          <w:sz w:val="22"/>
          <w:szCs w:val="20"/>
        </w:rPr>
        <w:t>’EPMO pourra demander lors de la consultation la présentation de variantes et le chiffrage de prestations supplémentaires éventuelles</w:t>
      </w:r>
      <w:r w:rsidR="00A11B7D">
        <w:rPr>
          <w:rFonts w:ascii="Arial Narrow" w:hAnsi="Arial Narrow"/>
          <w:sz w:val="22"/>
          <w:szCs w:val="20"/>
        </w:rPr>
        <w:t>.</w:t>
      </w:r>
    </w:p>
    <w:p w14:paraId="6C02645E" w14:textId="7AB70E5F" w:rsidR="00C03C82" w:rsidRPr="00C272A3" w:rsidRDefault="00C03C82" w:rsidP="00DA5349">
      <w:pPr>
        <w:jc w:val="both"/>
      </w:pPr>
      <w:r w:rsidRPr="00C272A3">
        <w:rPr>
          <w:rFonts w:ascii="Arial Narrow" w:hAnsi="Arial Narrow" w:cs="Arial"/>
          <w:szCs w:val="20"/>
        </w:rPr>
        <w:t>La demande de devis précise si les variantes sont autorisées ou non. Les variantes peuvent porter notamment sur les points suivants : type de papier et grammag</w:t>
      </w:r>
      <w:r>
        <w:rPr>
          <w:rFonts w:ascii="Arial Narrow" w:hAnsi="Arial Narrow" w:cs="Arial"/>
          <w:szCs w:val="20"/>
        </w:rPr>
        <w:t>e, format, façonnage, finitions.</w:t>
      </w:r>
      <w:r w:rsidRPr="00C272A3">
        <w:rPr>
          <w:rFonts w:ascii="Arial Narrow" w:hAnsi="Arial Narrow" w:cs="Arial"/>
          <w:szCs w:val="20"/>
        </w:rPr>
        <w:t xml:space="preserve"> L’ouverture aux variantes a notamment pour objet de réduire le coût de chaque marché subséquent.</w:t>
      </w:r>
    </w:p>
    <w:p w14:paraId="012F7990" w14:textId="353179DD" w:rsidR="00833004" w:rsidRPr="004E731F" w:rsidRDefault="005D555E" w:rsidP="00A12E75">
      <w:pPr>
        <w:pStyle w:val="En-tte"/>
        <w:numPr>
          <w:ilvl w:val="0"/>
          <w:numId w:val="11"/>
        </w:numPr>
        <w:spacing w:after="120" w:line="360" w:lineRule="auto"/>
        <w:jc w:val="both"/>
        <w:rPr>
          <w:rFonts w:ascii="Arial Narrow" w:hAnsi="Arial Narrow"/>
        </w:rPr>
      </w:pPr>
      <w:r w:rsidRPr="00833004">
        <w:rPr>
          <w:rFonts w:ascii="Arial Narrow" w:hAnsi="Arial Narrow"/>
          <w:u w:val="single"/>
        </w:rPr>
        <w:t xml:space="preserve">Les offres remises seront analysées </w:t>
      </w:r>
      <w:r w:rsidR="004E731F">
        <w:rPr>
          <w:rFonts w:ascii="Arial Narrow" w:hAnsi="Arial Narrow"/>
          <w:u w:val="single"/>
        </w:rPr>
        <w:t xml:space="preserve">selon : </w:t>
      </w:r>
    </w:p>
    <w:p w14:paraId="78868824" w14:textId="12B9F1DF" w:rsidR="004E731F" w:rsidRDefault="004E731F" w:rsidP="004E731F">
      <w:pPr>
        <w:pStyle w:val="Paragraphedeliste"/>
        <w:numPr>
          <w:ilvl w:val="0"/>
          <w:numId w:val="9"/>
        </w:numPr>
        <w:rPr>
          <w:rFonts w:ascii="Arial Narrow" w:hAnsi="Arial Narrow"/>
        </w:rPr>
      </w:pPr>
      <w:r>
        <w:rPr>
          <w:rFonts w:ascii="Arial Narrow" w:hAnsi="Arial Narrow"/>
        </w:rPr>
        <w:t xml:space="preserve">Un </w:t>
      </w:r>
      <w:r w:rsidRPr="004E731F">
        <w:rPr>
          <w:rFonts w:ascii="Arial Narrow" w:hAnsi="Arial Narrow"/>
        </w:rPr>
        <w:t xml:space="preserve">critère </w:t>
      </w:r>
      <w:r>
        <w:rPr>
          <w:rFonts w:ascii="Arial Narrow" w:hAnsi="Arial Narrow"/>
        </w:rPr>
        <w:t xml:space="preserve">unique </w:t>
      </w:r>
      <w:r w:rsidRPr="004E731F">
        <w:rPr>
          <w:rFonts w:ascii="Arial Narrow" w:hAnsi="Arial Narrow"/>
        </w:rPr>
        <w:t xml:space="preserve">prix </w:t>
      </w:r>
    </w:p>
    <w:p w14:paraId="0280B3A9" w14:textId="1196E1AE" w:rsidR="004E731F" w:rsidRPr="004E731F" w:rsidRDefault="004E731F" w:rsidP="004E731F">
      <w:pPr>
        <w:ind w:left="705"/>
        <w:rPr>
          <w:rFonts w:ascii="Arial Narrow" w:hAnsi="Arial Narrow"/>
        </w:rPr>
      </w:pPr>
      <w:r>
        <w:rPr>
          <w:rFonts w:ascii="Arial Narrow" w:hAnsi="Arial Narrow"/>
        </w:rPr>
        <w:t>Ou</w:t>
      </w:r>
    </w:p>
    <w:p w14:paraId="461CF524" w14:textId="0B2F7ED1" w:rsidR="004E731F" w:rsidRPr="00DA5349" w:rsidRDefault="004E731F" w:rsidP="004E731F">
      <w:pPr>
        <w:pStyle w:val="En-tte"/>
        <w:numPr>
          <w:ilvl w:val="0"/>
          <w:numId w:val="9"/>
        </w:numPr>
        <w:spacing w:after="120" w:line="360" w:lineRule="auto"/>
        <w:jc w:val="both"/>
        <w:rPr>
          <w:rFonts w:ascii="Arial Narrow" w:hAnsi="Arial Narrow"/>
        </w:rPr>
      </w:pPr>
      <w:r>
        <w:rPr>
          <w:rFonts w:ascii="Arial Narrow" w:hAnsi="Arial Narrow"/>
        </w:rPr>
        <w:t xml:space="preserve">Un critère prix (pondéré de </w:t>
      </w:r>
      <w:r w:rsidRPr="004E731F">
        <w:rPr>
          <w:rFonts w:ascii="Arial Narrow" w:hAnsi="Arial Narrow"/>
          <w:b/>
        </w:rPr>
        <w:t>10-90</w:t>
      </w:r>
      <w:r>
        <w:rPr>
          <w:rFonts w:ascii="Arial Narrow" w:hAnsi="Arial Narrow"/>
        </w:rPr>
        <w:t>%) et un critère technique (délais mis en place pour l’exécution des prestations inscrit</w:t>
      </w:r>
      <w:bookmarkStart w:id="0" w:name="_GoBack"/>
      <w:bookmarkEnd w:id="0"/>
      <w:r>
        <w:rPr>
          <w:rFonts w:ascii="Arial Narrow" w:hAnsi="Arial Narrow"/>
        </w:rPr>
        <w:t xml:space="preserve"> sur le devis) (pondéré </w:t>
      </w:r>
      <w:r w:rsidRPr="004E731F">
        <w:rPr>
          <w:rFonts w:ascii="Arial Narrow" w:hAnsi="Arial Narrow"/>
          <w:b/>
        </w:rPr>
        <w:t>10-90</w:t>
      </w:r>
      <w:r>
        <w:rPr>
          <w:rFonts w:ascii="Arial Narrow" w:hAnsi="Arial Narrow"/>
        </w:rPr>
        <w:t>%)</w:t>
      </w:r>
    </w:p>
    <w:p w14:paraId="2F4B048A" w14:textId="77777777" w:rsidR="00DA5349" w:rsidRDefault="00DA5349" w:rsidP="00DA5349">
      <w:pPr>
        <w:pStyle w:val="En-tte"/>
        <w:spacing w:after="120" w:line="360" w:lineRule="auto"/>
        <w:ind w:left="720"/>
        <w:jc w:val="both"/>
        <w:rPr>
          <w:rFonts w:ascii="Arial Narrow" w:hAnsi="Arial Narrow"/>
        </w:rPr>
      </w:pPr>
    </w:p>
    <w:p w14:paraId="7BDFB89C" w14:textId="6FEFD197" w:rsidR="005D555E" w:rsidRDefault="00C03C82" w:rsidP="00833004">
      <w:pPr>
        <w:pStyle w:val="En-tte"/>
        <w:spacing w:after="120" w:line="360" w:lineRule="auto"/>
        <w:jc w:val="both"/>
        <w:rPr>
          <w:rFonts w:ascii="Arial Narrow" w:hAnsi="Arial Narrow"/>
        </w:rPr>
      </w:pPr>
      <w:r w:rsidRPr="00833004">
        <w:rPr>
          <w:rFonts w:ascii="Arial Narrow" w:hAnsi="Arial Narrow"/>
          <w:u w:val="single"/>
        </w:rPr>
        <w:t xml:space="preserve">Attention </w:t>
      </w:r>
      <w:r w:rsidRPr="00833004">
        <w:rPr>
          <w:rFonts w:ascii="Arial Narrow" w:hAnsi="Arial Narrow"/>
        </w:rPr>
        <w:t xml:space="preserve">: </w:t>
      </w:r>
      <w:r w:rsidR="00833004" w:rsidRPr="00833004">
        <w:rPr>
          <w:rFonts w:ascii="Arial Narrow" w:hAnsi="Arial Narrow"/>
        </w:rPr>
        <w:t xml:space="preserve">En </w:t>
      </w:r>
      <w:r w:rsidRPr="00833004">
        <w:rPr>
          <w:rFonts w:ascii="Arial Narrow" w:hAnsi="Arial Narrow"/>
        </w:rPr>
        <w:t>cas d’égalité entre les montants des devis des candidats, le marché subséquent sera attribué au candidat ayant été le mieux classé lors de l’analyse des offres effectuée pour l’attribution de l’accord-cadre initial.</w:t>
      </w:r>
    </w:p>
    <w:p w14:paraId="5E489001" w14:textId="77777777" w:rsidR="00DA5349" w:rsidRPr="00833004" w:rsidRDefault="00DA5349" w:rsidP="00833004">
      <w:pPr>
        <w:pStyle w:val="En-tte"/>
        <w:spacing w:after="120" w:line="360" w:lineRule="auto"/>
        <w:jc w:val="both"/>
        <w:rPr>
          <w:rFonts w:ascii="Arial Narrow" w:hAnsi="Arial Narrow"/>
        </w:rPr>
      </w:pPr>
    </w:p>
    <w:p w14:paraId="47CE9F13" w14:textId="77777777" w:rsidR="00DA5349" w:rsidRPr="00C03C82" w:rsidRDefault="00DA5349" w:rsidP="00DA5349">
      <w:pPr>
        <w:pStyle w:val="En-tte"/>
        <w:spacing w:after="120" w:line="360" w:lineRule="auto"/>
        <w:jc w:val="both"/>
        <w:rPr>
          <w:rFonts w:ascii="Arial Narrow" w:hAnsi="Arial Narrow"/>
          <w:b/>
          <w:u w:val="single"/>
        </w:rPr>
      </w:pPr>
      <w:r w:rsidRPr="00C03C82">
        <w:rPr>
          <w:rFonts w:ascii="Arial Narrow" w:hAnsi="Arial Narrow"/>
          <w:b/>
          <w:u w:val="single"/>
        </w:rPr>
        <w:t>Pour le lot 3</w:t>
      </w:r>
      <w:r>
        <w:rPr>
          <w:rFonts w:ascii="Arial Narrow" w:hAnsi="Arial Narrow"/>
          <w:b/>
          <w:u w:val="single"/>
        </w:rPr>
        <w:t xml:space="preserve"> uniquement</w:t>
      </w:r>
      <w:r w:rsidRPr="00C03C82">
        <w:rPr>
          <w:rFonts w:ascii="Arial Narrow" w:hAnsi="Arial Narrow"/>
          <w:b/>
          <w:u w:val="single"/>
        </w:rPr>
        <w:t> :</w:t>
      </w:r>
    </w:p>
    <w:p w14:paraId="5CB96D20" w14:textId="77777777" w:rsidR="00DA5349" w:rsidRPr="00546FE0" w:rsidRDefault="00DA5349" w:rsidP="00DA5349">
      <w:pPr>
        <w:pStyle w:val="En-tte"/>
        <w:spacing w:after="120" w:line="360" w:lineRule="auto"/>
        <w:rPr>
          <w:rFonts w:ascii="Arial Narrow" w:hAnsi="Arial Narrow"/>
        </w:rPr>
      </w:pPr>
      <w:r w:rsidRPr="00546FE0">
        <w:rPr>
          <w:rFonts w:ascii="Arial Narrow" w:hAnsi="Arial Narrow"/>
        </w:rPr>
        <w:t>La conclusion d</w:t>
      </w:r>
      <w:r>
        <w:rPr>
          <w:rFonts w:ascii="Arial Narrow" w:hAnsi="Arial Narrow"/>
        </w:rPr>
        <w:t>e</w:t>
      </w:r>
      <w:r w:rsidRPr="00546FE0">
        <w:rPr>
          <w:rFonts w:ascii="Arial Narrow" w:hAnsi="Arial Narrow"/>
        </w:rPr>
        <w:t>s marchés subséquents s’effectuera via le profil d’acheteur PLACE selon les étapes ci-dessous :</w:t>
      </w:r>
    </w:p>
    <w:p w14:paraId="509C3A91" w14:textId="77777777" w:rsidR="00DA5349" w:rsidRDefault="00DA5349" w:rsidP="00DA5349">
      <w:pPr>
        <w:pStyle w:val="En-tte"/>
        <w:numPr>
          <w:ilvl w:val="0"/>
          <w:numId w:val="11"/>
        </w:numPr>
        <w:spacing w:after="120" w:line="360" w:lineRule="auto"/>
        <w:rPr>
          <w:rFonts w:ascii="Arial Narrow" w:hAnsi="Arial Narrow"/>
        </w:rPr>
      </w:pPr>
      <w:r w:rsidRPr="00546FE0">
        <w:rPr>
          <w:rFonts w:ascii="Arial Narrow" w:hAnsi="Arial Narrow"/>
          <w:u w:val="single"/>
        </w:rPr>
        <w:t>L’</w:t>
      </w:r>
      <w:r>
        <w:rPr>
          <w:rFonts w:ascii="Arial Narrow" w:hAnsi="Arial Narrow"/>
          <w:u w:val="single"/>
        </w:rPr>
        <w:t>EPMO-VGE</w:t>
      </w:r>
      <w:r w:rsidRPr="00546FE0">
        <w:rPr>
          <w:rFonts w:ascii="Arial Narrow" w:hAnsi="Arial Narrow"/>
          <w:u w:val="single"/>
        </w:rPr>
        <w:t xml:space="preserve"> communiquera le dossier suivant au titulaire</w:t>
      </w:r>
      <w:r>
        <w:rPr>
          <w:rFonts w:ascii="Arial Narrow" w:hAnsi="Arial Narrow"/>
          <w:u w:val="single"/>
        </w:rPr>
        <w:t xml:space="preserve"> unique du lot</w:t>
      </w:r>
      <w:r w:rsidRPr="00546FE0">
        <w:rPr>
          <w:rFonts w:ascii="Arial Narrow" w:hAnsi="Arial Narrow"/>
        </w:rPr>
        <w:t xml:space="preserve"> : </w:t>
      </w:r>
    </w:p>
    <w:p w14:paraId="147FB3A1" w14:textId="77777777" w:rsidR="00DA5349" w:rsidRDefault="00DA5349" w:rsidP="00DA5349">
      <w:pPr>
        <w:pStyle w:val="En-tte"/>
        <w:numPr>
          <w:ilvl w:val="0"/>
          <w:numId w:val="9"/>
        </w:numPr>
        <w:spacing w:after="120" w:line="360" w:lineRule="auto"/>
        <w:jc w:val="both"/>
        <w:rPr>
          <w:rFonts w:ascii="Arial Narrow" w:hAnsi="Arial Narrow"/>
        </w:rPr>
      </w:pPr>
      <w:r>
        <w:rPr>
          <w:rFonts w:ascii="Arial Narrow" w:hAnsi="Arial Narrow"/>
        </w:rPr>
        <w:t>Les informations spécifiques et les caractéristiques techniques des prestations attendues (format, papier, etc…) ;</w:t>
      </w:r>
    </w:p>
    <w:p w14:paraId="021AF0FF" w14:textId="77777777" w:rsidR="00DA5349" w:rsidRPr="00F3541F" w:rsidRDefault="00DA5349" w:rsidP="00DA5349">
      <w:pPr>
        <w:pStyle w:val="En-tte"/>
        <w:numPr>
          <w:ilvl w:val="0"/>
          <w:numId w:val="9"/>
        </w:numPr>
        <w:spacing w:after="120" w:line="360" w:lineRule="auto"/>
        <w:jc w:val="both"/>
        <w:rPr>
          <w:rFonts w:ascii="Arial Narrow" w:hAnsi="Arial Narrow"/>
        </w:rPr>
      </w:pPr>
      <w:r w:rsidRPr="00F3541F">
        <w:rPr>
          <w:rFonts w:ascii="Arial Narrow" w:hAnsi="Arial Narrow"/>
        </w:rPr>
        <w:lastRenderedPageBreak/>
        <w:t>Les quantités demandées, les délais et les lieux de livraison,</w:t>
      </w:r>
    </w:p>
    <w:p w14:paraId="5E9C2161" w14:textId="77777777" w:rsidR="00DA5349" w:rsidRDefault="00DA5349" w:rsidP="00DA5349">
      <w:pPr>
        <w:pStyle w:val="En-tte"/>
        <w:numPr>
          <w:ilvl w:val="0"/>
          <w:numId w:val="9"/>
        </w:numPr>
        <w:spacing w:after="120" w:line="360" w:lineRule="auto"/>
        <w:jc w:val="both"/>
        <w:rPr>
          <w:rFonts w:ascii="Arial Narrow" w:hAnsi="Arial Narrow"/>
        </w:rPr>
      </w:pPr>
      <w:r w:rsidRPr="00F3541F">
        <w:rPr>
          <w:rFonts w:ascii="Arial Narrow" w:hAnsi="Arial Narrow"/>
        </w:rPr>
        <w:t>Le</w:t>
      </w:r>
      <w:r>
        <w:rPr>
          <w:rFonts w:ascii="Arial Narrow" w:hAnsi="Arial Narrow"/>
        </w:rPr>
        <w:t xml:space="preserve"> délai laissé au titulaire </w:t>
      </w:r>
      <w:r w:rsidRPr="00F3541F">
        <w:rPr>
          <w:rFonts w:ascii="Arial Narrow" w:hAnsi="Arial Narrow"/>
        </w:rPr>
        <w:t xml:space="preserve">pour adresser </w:t>
      </w:r>
      <w:r>
        <w:rPr>
          <w:rFonts w:ascii="Arial Narrow" w:hAnsi="Arial Narrow"/>
        </w:rPr>
        <w:t>son devis</w:t>
      </w:r>
    </w:p>
    <w:p w14:paraId="26B96FAB" w14:textId="77777777" w:rsidR="00DA5349" w:rsidRDefault="00DA5349" w:rsidP="00DA5349">
      <w:pPr>
        <w:pStyle w:val="En-tte"/>
        <w:numPr>
          <w:ilvl w:val="3"/>
          <w:numId w:val="9"/>
        </w:numPr>
        <w:spacing w:after="120" w:line="360" w:lineRule="auto"/>
        <w:ind w:left="709"/>
        <w:jc w:val="both"/>
        <w:rPr>
          <w:rFonts w:ascii="Arial Narrow" w:hAnsi="Arial Narrow"/>
        </w:rPr>
      </w:pPr>
      <w:r w:rsidRPr="00C03C82">
        <w:rPr>
          <w:rFonts w:ascii="Arial Narrow" w:hAnsi="Arial Narrow"/>
          <w:u w:val="single"/>
        </w:rPr>
        <w:t>Sur la base de ce dossier, le titulaire remettra une proposition de devis détaillé</w:t>
      </w:r>
      <w:r>
        <w:rPr>
          <w:rFonts w:ascii="Arial Narrow" w:hAnsi="Arial Narrow"/>
        </w:rPr>
        <w:t>. (</w:t>
      </w:r>
      <w:r w:rsidRPr="00C03C82">
        <w:rPr>
          <w:rFonts w:ascii="Arial Narrow" w:hAnsi="Arial Narrow"/>
        </w:rPr>
        <w:t xml:space="preserve">Si les </w:t>
      </w:r>
      <w:r>
        <w:rPr>
          <w:rFonts w:ascii="Arial Narrow" w:hAnsi="Arial Narrow"/>
        </w:rPr>
        <w:t xml:space="preserve">caractéristiques des </w:t>
      </w:r>
      <w:r w:rsidRPr="00C03C82">
        <w:rPr>
          <w:rFonts w:ascii="Arial Narrow" w:hAnsi="Arial Narrow"/>
        </w:rPr>
        <w:t xml:space="preserve">prestations demandées correspondent </w:t>
      </w:r>
      <w:r>
        <w:rPr>
          <w:rFonts w:ascii="Arial Narrow" w:hAnsi="Arial Narrow"/>
        </w:rPr>
        <w:t xml:space="preserve">en tout point </w:t>
      </w:r>
      <w:r w:rsidRPr="00C03C82">
        <w:rPr>
          <w:rFonts w:ascii="Arial Narrow" w:hAnsi="Arial Narrow"/>
        </w:rPr>
        <w:t xml:space="preserve">à celles </w:t>
      </w:r>
      <w:r>
        <w:rPr>
          <w:rFonts w:ascii="Arial Narrow" w:hAnsi="Arial Narrow"/>
        </w:rPr>
        <w:t>indiquées en colonnes A et B du référentiel</w:t>
      </w:r>
      <w:r w:rsidRPr="00C03C82">
        <w:rPr>
          <w:rFonts w:ascii="Arial Narrow" w:hAnsi="Arial Narrow"/>
        </w:rPr>
        <w:t xml:space="preserve"> pour</w:t>
      </w:r>
      <w:r>
        <w:rPr>
          <w:rFonts w:ascii="Arial Narrow" w:hAnsi="Arial Narrow"/>
        </w:rPr>
        <w:t xml:space="preserve"> les prix plafonds, les prix </w:t>
      </w:r>
      <w:r w:rsidRPr="00C03C82">
        <w:rPr>
          <w:rFonts w:ascii="Arial Narrow" w:hAnsi="Arial Narrow"/>
        </w:rPr>
        <w:t xml:space="preserve">indiqués dans le devis </w:t>
      </w:r>
      <w:r>
        <w:rPr>
          <w:rFonts w:ascii="Arial Narrow" w:hAnsi="Arial Narrow"/>
        </w:rPr>
        <w:t xml:space="preserve">remis par le titulaire </w:t>
      </w:r>
      <w:r w:rsidRPr="00C03C82">
        <w:rPr>
          <w:rFonts w:ascii="Arial Narrow" w:hAnsi="Arial Narrow"/>
        </w:rPr>
        <w:t>ne pourront en aucun dépasser</w:t>
      </w:r>
      <w:r>
        <w:rPr>
          <w:rFonts w:ascii="Arial Narrow" w:hAnsi="Arial Narrow"/>
        </w:rPr>
        <w:t xml:space="preserve"> ces derniers).</w:t>
      </w:r>
    </w:p>
    <w:p w14:paraId="772B45DE" w14:textId="77777777" w:rsidR="00C03C82" w:rsidRPr="00546FE0" w:rsidRDefault="00C03C82"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14584D5D" w14:textId="77777777" w:rsidR="00347265"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L’admission des prestations s’effectuera dans les conditions fixées à l’article 30 du CCAG-FCS. </w:t>
      </w:r>
    </w:p>
    <w:p w14:paraId="1A9C96CB"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CCAG-FCS.</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128C9E26" w14:textId="77777777" w:rsidR="00874D6C" w:rsidRPr="00546FE0" w:rsidRDefault="00874D6C" w:rsidP="00874D6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RESPONSABILITE SOCIETALE</w:t>
      </w:r>
    </w:p>
    <w:p w14:paraId="379BDF70" w14:textId="3C11B2B0"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est engagé dans une démarche de responsabilité sociétale ambitieuse inscrite dans le cœur de ses missions de service public et décrite dans la Stratégie RSO 202</w:t>
      </w:r>
      <w:r w:rsidR="00116380">
        <w:rPr>
          <w:rFonts w:ascii="Arial Narrow" w:hAnsi="Arial Narrow"/>
        </w:rPr>
        <w:t>5</w:t>
      </w:r>
      <w:r w:rsidRPr="00546FE0">
        <w:rPr>
          <w:rFonts w:ascii="Arial Narrow" w:hAnsi="Arial Narrow"/>
        </w:rPr>
        <w:t>-20</w:t>
      </w:r>
      <w:r w:rsidR="00116380">
        <w:rPr>
          <w:rFonts w:ascii="Arial Narrow" w:hAnsi="Arial Narrow"/>
        </w:rPr>
        <w:t>30</w:t>
      </w:r>
      <w:r w:rsidRPr="00546FE0">
        <w:rPr>
          <w:rFonts w:ascii="Arial Narrow" w:hAnsi="Arial Narrow"/>
        </w:rPr>
        <w:t xml:space="preserve"> disponible </w:t>
      </w:r>
      <w:r>
        <w:rPr>
          <w:rFonts w:ascii="Arial Narrow" w:hAnsi="Arial Narrow"/>
        </w:rPr>
        <w:t>sur demande. Cette démarche recouvre l’ensemble des missions de l’Etablissement ; elle a pour objet l’intégration systématique des enjeux sociaux et environnementa</w:t>
      </w:r>
      <w:r w:rsidR="000B3B2B">
        <w:rPr>
          <w:rFonts w:ascii="Arial Narrow" w:hAnsi="Arial Narrow"/>
        </w:rPr>
        <w:t>ux dans toutes les activités. L’EPMO</w:t>
      </w:r>
      <w:r>
        <w:rPr>
          <w:rFonts w:ascii="Arial Narrow" w:hAnsi="Arial Narrow"/>
        </w:rPr>
        <w:t xml:space="preserve">-VGE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71D79809" w14:textId="77777777" w:rsidR="00874D6C" w:rsidRPr="00546FE0" w:rsidRDefault="00874D6C" w:rsidP="00874D6C">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53C004C7" w14:textId="0A1F2D34" w:rsidR="00EE65EC" w:rsidRDefault="00874D6C"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6915D305" w14:textId="77777777" w:rsidR="008816BA" w:rsidRPr="008816BA" w:rsidRDefault="008816BA" w:rsidP="00D9355E">
      <w:pPr>
        <w:pStyle w:val="En-tte"/>
        <w:tabs>
          <w:tab w:val="clear" w:pos="4536"/>
          <w:tab w:val="clear" w:pos="9072"/>
        </w:tabs>
        <w:spacing w:after="120" w:line="360" w:lineRule="auto"/>
        <w:jc w:val="both"/>
        <w:rPr>
          <w:rFonts w:ascii="Arial Narrow" w:hAnsi="Arial Narrow"/>
        </w:rPr>
      </w:pPr>
    </w:p>
    <w:p w14:paraId="08843B69" w14:textId="2F47A85F" w:rsidR="00EE65EC" w:rsidRDefault="00EE65EC" w:rsidP="00245388">
      <w:pPr>
        <w:pStyle w:val="En-tte"/>
        <w:numPr>
          <w:ilvl w:val="0"/>
          <w:numId w:val="17"/>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Protection de l’environnement</w:t>
      </w:r>
    </w:p>
    <w:p w14:paraId="18A36626" w14:textId="06F99872" w:rsidR="00A11B7D" w:rsidRPr="00A11B7D" w:rsidRDefault="00A11B7D" w:rsidP="00A11B7D">
      <w:pPr>
        <w:spacing w:after="0" w:line="360" w:lineRule="auto"/>
        <w:jc w:val="both"/>
        <w:rPr>
          <w:rFonts w:ascii="Arial Narrow" w:eastAsia="Times New Roman" w:hAnsi="Arial Narrow" w:cs="Arial"/>
          <w:color w:val="000000"/>
          <w:szCs w:val="20"/>
          <w:lang w:eastAsia="fr-FR"/>
        </w:rPr>
      </w:pPr>
      <w:r w:rsidRPr="00A11B7D">
        <w:rPr>
          <w:rFonts w:ascii="Arial Narrow" w:eastAsia="Times New Roman" w:hAnsi="Arial Narrow" w:cs="Arial"/>
          <w:color w:val="000000"/>
          <w:szCs w:val="20"/>
          <w:lang w:eastAsia="fr-FR"/>
        </w:rPr>
        <w:t>Au titre de l’exécution du présent accord-cadre, le titulaire prendra soin d’appliquer toute mesure réduisant l’empreinte carbone de ses prestations. Ces dispositions s’appliquent en particulier s’agissant :</w:t>
      </w:r>
    </w:p>
    <w:p w14:paraId="1F561EF9" w14:textId="75D7C1FF" w:rsidR="00A11B7D" w:rsidRPr="00A11B7D" w:rsidRDefault="00A11B7D" w:rsidP="00A11B7D">
      <w:pPr>
        <w:rPr>
          <w:rFonts w:ascii="Arial Narrow" w:hAnsi="Arial Narrow"/>
        </w:rPr>
      </w:pPr>
      <w:r>
        <w:rPr>
          <w:rFonts w:ascii="Arial Narrow" w:hAnsi="Arial Narrow"/>
        </w:rPr>
        <w:t>D</w:t>
      </w:r>
      <w:r w:rsidRPr="00A11B7D">
        <w:rPr>
          <w:rFonts w:ascii="Arial Narrow" w:hAnsi="Arial Narrow"/>
        </w:rPr>
        <w:t xml:space="preserve">es travaux </w:t>
      </w:r>
      <w:r w:rsidR="00DE7E02">
        <w:rPr>
          <w:rFonts w:ascii="Arial Narrow" w:hAnsi="Arial Narrow"/>
        </w:rPr>
        <w:t xml:space="preserve">d’impression </w:t>
      </w:r>
      <w:r>
        <w:rPr>
          <w:rFonts w:ascii="Arial Narrow" w:hAnsi="Arial Narrow"/>
        </w:rPr>
        <w:t>:</w:t>
      </w:r>
    </w:p>
    <w:p w14:paraId="45EEFF5D" w14:textId="77777777" w:rsidR="00A11B7D" w:rsidRPr="00A11B7D" w:rsidRDefault="00A11B7D" w:rsidP="00A11B7D">
      <w:pPr>
        <w:rPr>
          <w:rFonts w:ascii="Arial Narrow" w:hAnsi="Arial Narrow"/>
        </w:rPr>
      </w:pPr>
      <w:r w:rsidRPr="00A11B7D">
        <w:rPr>
          <w:rFonts w:ascii="Arial Narrow" w:hAnsi="Arial Narrow"/>
        </w:rPr>
        <w:t>-</w:t>
      </w:r>
      <w:r w:rsidRPr="00A11B7D">
        <w:rPr>
          <w:rFonts w:ascii="Arial Narrow" w:hAnsi="Arial Narrow"/>
        </w:rPr>
        <w:tab/>
        <w:t xml:space="preserve">Label </w:t>
      </w:r>
      <w:proofErr w:type="spellStart"/>
      <w:r w:rsidRPr="00A11B7D">
        <w:rPr>
          <w:rFonts w:ascii="Arial Narrow" w:hAnsi="Arial Narrow"/>
        </w:rPr>
        <w:t>Imprim</w:t>
      </w:r>
      <w:proofErr w:type="spellEnd"/>
      <w:r w:rsidRPr="00A11B7D">
        <w:rPr>
          <w:rFonts w:ascii="Arial Narrow" w:hAnsi="Arial Narrow"/>
        </w:rPr>
        <w:t>’ Vert ;</w:t>
      </w:r>
    </w:p>
    <w:p w14:paraId="7CC76281" w14:textId="77777777" w:rsidR="00A11B7D" w:rsidRPr="00A11B7D" w:rsidRDefault="00A11B7D" w:rsidP="00A11B7D">
      <w:pPr>
        <w:rPr>
          <w:rFonts w:ascii="Arial Narrow" w:hAnsi="Arial Narrow"/>
        </w:rPr>
      </w:pPr>
      <w:r w:rsidRPr="00A11B7D">
        <w:rPr>
          <w:rFonts w:ascii="Arial Narrow" w:hAnsi="Arial Narrow"/>
        </w:rPr>
        <w:t>-</w:t>
      </w:r>
      <w:r w:rsidRPr="00A11B7D">
        <w:rPr>
          <w:rFonts w:ascii="Arial Narrow" w:hAnsi="Arial Narrow"/>
        </w:rPr>
        <w:tab/>
        <w:t>Utilisations de papier provenant de forêts gérées de façon durable (FSC, PEFC, etc.) ;</w:t>
      </w:r>
    </w:p>
    <w:p w14:paraId="081AF942" w14:textId="77777777" w:rsidR="00A11B7D" w:rsidRPr="00A11B7D" w:rsidRDefault="00A11B7D" w:rsidP="00A11B7D">
      <w:pPr>
        <w:rPr>
          <w:rFonts w:ascii="Arial Narrow" w:hAnsi="Arial Narrow"/>
        </w:rPr>
      </w:pPr>
      <w:r w:rsidRPr="00A11B7D">
        <w:rPr>
          <w:rFonts w:ascii="Arial Narrow" w:hAnsi="Arial Narrow"/>
        </w:rPr>
        <w:t>-</w:t>
      </w:r>
      <w:r w:rsidRPr="00A11B7D">
        <w:rPr>
          <w:rFonts w:ascii="Arial Narrow" w:hAnsi="Arial Narrow"/>
        </w:rPr>
        <w:tab/>
        <w:t>Utilisation d’encres sans solvants (base eau, encres végétales) ou à éco-solvants ;</w:t>
      </w:r>
    </w:p>
    <w:p w14:paraId="0DD91F56" w14:textId="77777777" w:rsidR="00A11B7D" w:rsidRPr="00A11B7D" w:rsidRDefault="00A11B7D" w:rsidP="00A11B7D">
      <w:pPr>
        <w:rPr>
          <w:rFonts w:ascii="Arial Narrow" w:hAnsi="Arial Narrow"/>
        </w:rPr>
      </w:pPr>
      <w:r w:rsidRPr="00A11B7D">
        <w:rPr>
          <w:rFonts w:ascii="Arial Narrow" w:hAnsi="Arial Narrow"/>
        </w:rPr>
        <w:t>-</w:t>
      </w:r>
      <w:r w:rsidRPr="00A11B7D">
        <w:rPr>
          <w:rFonts w:ascii="Arial Narrow" w:hAnsi="Arial Narrow"/>
        </w:rPr>
        <w:tab/>
        <w:t>Utilisation de colles sans solvants (base eau…) ;</w:t>
      </w:r>
    </w:p>
    <w:p w14:paraId="2735D61C" w14:textId="0E4FADB1" w:rsidR="00A11B7D" w:rsidRPr="00A11B7D" w:rsidRDefault="00A11B7D" w:rsidP="00A11B7D">
      <w:pPr>
        <w:rPr>
          <w:rFonts w:ascii="Arial Narrow" w:hAnsi="Arial Narrow"/>
        </w:rPr>
      </w:pPr>
      <w:r w:rsidRPr="00A11B7D">
        <w:rPr>
          <w:rFonts w:ascii="Arial Narrow" w:hAnsi="Arial Narrow"/>
        </w:rPr>
        <w:t>-</w:t>
      </w:r>
      <w:r w:rsidRPr="00A11B7D">
        <w:rPr>
          <w:rFonts w:ascii="Arial Narrow" w:hAnsi="Arial Narrow"/>
        </w:rPr>
        <w:tab/>
        <w:t>Utilisation de peintures à l’eau ou de peintures dites naturelle.</w:t>
      </w:r>
    </w:p>
    <w:p w14:paraId="5CD0975B" w14:textId="2FE83CAC" w:rsidR="0035293A" w:rsidRDefault="00A11B7D" w:rsidP="00A11B7D">
      <w:pPr>
        <w:rPr>
          <w:rFonts w:ascii="Arial Narrow" w:hAnsi="Arial Narrow"/>
        </w:rPr>
      </w:pPr>
      <w:r>
        <w:rPr>
          <w:rFonts w:ascii="Arial Narrow" w:hAnsi="Arial Narrow"/>
        </w:rPr>
        <w:t>D</w:t>
      </w:r>
      <w:r w:rsidRPr="00A11B7D">
        <w:rPr>
          <w:rFonts w:ascii="Arial Narrow" w:hAnsi="Arial Narrow"/>
        </w:rPr>
        <w:t>es livraison-pose-dépose (véhicules électriques ou hybrides, éco-conduite…).</w:t>
      </w:r>
    </w:p>
    <w:p w14:paraId="7B6C67C0" w14:textId="77777777" w:rsidR="00F40BC0" w:rsidRDefault="00F40BC0" w:rsidP="00A11B7D">
      <w:pPr>
        <w:rPr>
          <w:rFonts w:ascii="Arial Narrow" w:hAnsi="Arial Narrow"/>
        </w:rPr>
      </w:pPr>
    </w:p>
    <w:p w14:paraId="7155E600" w14:textId="77777777" w:rsidR="00F40BC0" w:rsidRPr="0035293A" w:rsidRDefault="00F40BC0" w:rsidP="00F40BC0">
      <w:pPr>
        <w:pStyle w:val="En-tte"/>
        <w:numPr>
          <w:ilvl w:val="0"/>
          <w:numId w:val="17"/>
        </w:numPr>
        <w:tabs>
          <w:tab w:val="clear" w:pos="4536"/>
          <w:tab w:val="clear" w:pos="9072"/>
        </w:tabs>
        <w:spacing w:after="240" w:line="360" w:lineRule="auto"/>
        <w:ind w:hanging="720"/>
        <w:jc w:val="both"/>
        <w:rPr>
          <w:rFonts w:ascii="Arial Narrow" w:hAnsi="Arial Narrow"/>
          <w:b/>
        </w:rPr>
      </w:pPr>
      <w:r w:rsidRPr="0035293A">
        <w:rPr>
          <w:rFonts w:ascii="Arial Narrow" w:hAnsi="Arial Narrow"/>
          <w:b/>
        </w:rPr>
        <w:t>Obligations relatives au calcul des émissions de gaz à effet de serre</w:t>
      </w:r>
    </w:p>
    <w:p w14:paraId="07657B79" w14:textId="77777777" w:rsidR="00F40BC0" w:rsidRPr="0035293A" w:rsidRDefault="00F40BC0" w:rsidP="00F40BC0">
      <w:pPr>
        <w:pStyle w:val="En-tte"/>
        <w:spacing w:after="120" w:line="360" w:lineRule="auto"/>
        <w:jc w:val="both"/>
        <w:rPr>
          <w:rFonts w:ascii="Arial Narrow" w:hAnsi="Arial Narrow"/>
        </w:rPr>
      </w:pPr>
      <w:r w:rsidRPr="0035293A">
        <w:rPr>
          <w:rFonts w:ascii="Arial Narrow" w:hAnsi="Arial Narrow"/>
        </w:rPr>
        <w:t xml:space="preserve">Au titre de sa politique de transition écologique, l’EPMO-VGE est engagé dans une démarche de mesure de l’empreinte environnementale de ses activités, comprenant les prestations réalisées au titre du présent accord-cadre. </w:t>
      </w:r>
    </w:p>
    <w:p w14:paraId="5B3E92F8" w14:textId="77777777" w:rsidR="00F40BC0" w:rsidRDefault="00F40BC0" w:rsidP="00F40BC0">
      <w:pPr>
        <w:pStyle w:val="En-tte"/>
        <w:spacing w:after="120" w:line="360" w:lineRule="auto"/>
        <w:jc w:val="both"/>
        <w:rPr>
          <w:rFonts w:ascii="Arial Narrow" w:hAnsi="Arial Narrow"/>
        </w:rPr>
      </w:pPr>
      <w:r w:rsidRPr="0035293A">
        <w:rPr>
          <w:rFonts w:ascii="Arial Narrow" w:hAnsi="Arial Narrow"/>
        </w:rPr>
        <w:t xml:space="preserve">Dans ce cadre, le titulaire est tenu de fournir les données nécessaires à cette mesure, telles que demandées par l’EPMO-VGE : </w:t>
      </w:r>
    </w:p>
    <w:p w14:paraId="0A990EE9" w14:textId="77777777" w:rsidR="00F40BC0" w:rsidRPr="0035293A" w:rsidRDefault="00F40BC0" w:rsidP="00F40BC0">
      <w:pPr>
        <w:pStyle w:val="En-tte"/>
        <w:numPr>
          <w:ilvl w:val="0"/>
          <w:numId w:val="21"/>
        </w:numPr>
        <w:spacing w:after="120" w:line="360" w:lineRule="auto"/>
        <w:jc w:val="both"/>
        <w:rPr>
          <w:rFonts w:ascii="Arial Narrow" w:hAnsi="Arial Narrow"/>
        </w:rPr>
      </w:pPr>
      <w:r>
        <w:rPr>
          <w:rFonts w:ascii="Arial Narrow" w:hAnsi="Arial Narrow"/>
        </w:rPr>
        <w:t>L</w:t>
      </w:r>
      <w:r w:rsidRPr="0078017F">
        <w:rPr>
          <w:rFonts w:ascii="Arial Narrow" w:hAnsi="Arial Narrow"/>
        </w:rPr>
        <w:t>es quantités de gaz à effet de serre émises par le ou les modes de transport utilisés pour</w:t>
      </w:r>
      <w:r>
        <w:rPr>
          <w:rFonts w:ascii="Arial Narrow" w:hAnsi="Arial Narrow"/>
        </w:rPr>
        <w:t xml:space="preserve"> réaliser les prestations, </w:t>
      </w:r>
      <w:r w:rsidRPr="0078017F">
        <w:rPr>
          <w:rFonts w:ascii="Arial Narrow" w:hAnsi="Arial Narrow"/>
        </w:rPr>
        <w:t>objet du marché. Pour ce faire, le titulaire pourra utiliser l’outil de calcul de son choix mais devra donner les données physiques associées (distance parcourue, poids, mode de transport, type de véhicule) ainsi que les facteurs d’émission utilisés afin que l’EPMO-VGE puisse juger de sa fiabilité.</w:t>
      </w:r>
    </w:p>
    <w:p w14:paraId="35BF0920" w14:textId="4CCD2154" w:rsidR="0035293A" w:rsidRDefault="00F40BC0" w:rsidP="00F40BC0">
      <w:pPr>
        <w:pStyle w:val="En-tte"/>
        <w:tabs>
          <w:tab w:val="clear" w:pos="4536"/>
          <w:tab w:val="clear" w:pos="9072"/>
        </w:tabs>
        <w:spacing w:after="120" w:line="360" w:lineRule="auto"/>
        <w:jc w:val="both"/>
        <w:rPr>
          <w:rFonts w:ascii="Arial Narrow" w:hAnsi="Arial Narrow"/>
        </w:rPr>
      </w:pPr>
      <w:r w:rsidRPr="006A5187">
        <w:rPr>
          <w:rFonts w:ascii="Arial Narrow" w:hAnsi="Arial Narrow"/>
        </w:rPr>
        <w:t>Le titulaire fournira annuellement un bilan intégrant l’ensemble des éléments décrits ci-dessus</w:t>
      </w:r>
    </w:p>
    <w:p w14:paraId="74846CE7" w14:textId="77777777" w:rsidR="00F40BC0" w:rsidRPr="00546FE0" w:rsidRDefault="00F40BC0" w:rsidP="00F40BC0">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6F1272C5" w14:textId="3E3CBF52" w:rsidR="00B42ED3" w:rsidRPr="00546FE0" w:rsidRDefault="00B42ED3" w:rsidP="00B42ED3">
      <w:pPr>
        <w:pStyle w:val="En-tte"/>
        <w:spacing w:after="120" w:line="360" w:lineRule="auto"/>
        <w:jc w:val="both"/>
        <w:rPr>
          <w:rFonts w:ascii="Arial Narrow" w:hAnsi="Arial Narrow"/>
        </w:rPr>
      </w:pPr>
      <w:r w:rsidRPr="00546FE0">
        <w:rPr>
          <w:rFonts w:ascii="Arial Narrow" w:hAnsi="Arial Narrow"/>
        </w:rPr>
        <w:t xml:space="preserve">Les prix des prestations sont des </w:t>
      </w:r>
      <w:r w:rsidRPr="00F3541F">
        <w:rPr>
          <w:rFonts w:ascii="Arial Narrow" w:hAnsi="Arial Narrow"/>
        </w:rPr>
        <w:t>prix unitaire</w:t>
      </w:r>
      <w:r w:rsidR="00F3541F">
        <w:rPr>
          <w:rFonts w:ascii="Arial Narrow" w:hAnsi="Arial Narrow"/>
        </w:rPr>
        <w:t>/forfaitaire</w:t>
      </w:r>
      <w:r w:rsidRPr="00F3541F">
        <w:rPr>
          <w:rFonts w:ascii="Arial Narrow" w:hAnsi="Arial Narrow"/>
        </w:rPr>
        <w:t xml:space="preserve">s.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toutes les charges fiscales ou autres frappant </w:t>
      </w:r>
      <w:r w:rsidR="00634FEB">
        <w:rPr>
          <w:rFonts w:ascii="Arial Narrow" w:hAnsi="Arial Narrow"/>
        </w:rPr>
        <w:t>obligatoirement les prestations (ex : frais de livraison)</w:t>
      </w:r>
      <w:r w:rsidR="00634FEB" w:rsidRPr="00546FE0">
        <w:rPr>
          <w:rFonts w:ascii="Arial Narrow" w:hAnsi="Arial Narrow"/>
        </w:rPr>
        <w:t xml:space="preserve">. </w:t>
      </w:r>
      <w:r w:rsidRPr="00546FE0">
        <w:rPr>
          <w:rFonts w:ascii="Arial Narrow" w:hAnsi="Arial Narrow"/>
        </w:rPr>
        <w:t xml:space="preserve"> </w:t>
      </w:r>
    </w:p>
    <w:p w14:paraId="0614103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Ils sont révisables et établis sur la base des conditions économiques en vigueur au mois de remise des offres. Ce mois est appelé le « mois zéro » (M0).</w:t>
      </w:r>
    </w:p>
    <w:p w14:paraId="4ABEDA2F"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Cette révision s’effectue annuellement à la date anniversaire de la notification du marché par application de la formule suivante :</w:t>
      </w:r>
    </w:p>
    <w:p w14:paraId="4ED5643A" w14:textId="77777777" w:rsidR="00634FEB" w:rsidRPr="00546FE0" w:rsidRDefault="00634FEB" w:rsidP="00634FEB">
      <w:pPr>
        <w:pStyle w:val="En-tte"/>
        <w:spacing w:after="120" w:line="360" w:lineRule="auto"/>
        <w:rPr>
          <w:rFonts w:ascii="Arial Narrow" w:hAnsi="Arial Narrow"/>
          <w:lang w:val="en-US"/>
        </w:rPr>
      </w:pPr>
      <w:r w:rsidRPr="00546FE0">
        <w:rPr>
          <w:rFonts w:ascii="Arial Narrow" w:hAnsi="Arial Narrow"/>
          <w:lang w:val="en-US"/>
        </w:rPr>
        <w:t xml:space="preserve">P = Po * </w:t>
      </w:r>
      <w:r>
        <w:rPr>
          <w:rFonts w:ascii="Arial Narrow" w:hAnsi="Arial Narrow"/>
          <w:lang w:val="en-US"/>
        </w:rPr>
        <w:t>(IPPI-N/ IPPI-No)</w:t>
      </w:r>
    </w:p>
    <w:p w14:paraId="6B72DD2F" w14:textId="77777777" w:rsidR="00634FEB" w:rsidRPr="00546FE0" w:rsidRDefault="00634FEB" w:rsidP="00634FEB">
      <w:pPr>
        <w:pStyle w:val="En-tte"/>
        <w:spacing w:after="120" w:line="360" w:lineRule="auto"/>
        <w:jc w:val="both"/>
        <w:rPr>
          <w:rFonts w:ascii="Arial Narrow" w:hAnsi="Arial Narrow"/>
        </w:rPr>
      </w:pPr>
      <w:r>
        <w:rPr>
          <w:rFonts w:ascii="Arial Narrow" w:hAnsi="Arial Narrow"/>
        </w:rPr>
        <w:lastRenderedPageBreak/>
        <w:t>IPPI</w:t>
      </w:r>
      <w:r w:rsidRPr="00546FE0">
        <w:rPr>
          <w:rFonts w:ascii="Arial Narrow" w:hAnsi="Arial Narrow"/>
        </w:rPr>
        <w:t xml:space="preserve"> = </w:t>
      </w:r>
      <w:r w:rsidRPr="0003600B">
        <w:rPr>
          <w:rFonts w:ascii="Arial Narrow" w:hAnsi="Arial Narrow"/>
        </w:rPr>
        <w:t>Indice de prix de production de l'industrie française pour le marché français - prix de base - CPF 18.1 - Travaux d'impression et services connexes- BASE 2010- (FBAO 181000) n° identifiant 010763810</w:t>
      </w:r>
    </w:p>
    <w:p w14:paraId="525BF1FC"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Dans laquelle :</w:t>
      </w:r>
    </w:p>
    <w:p w14:paraId="2C5F3973" w14:textId="77777777"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P : prix révisé,</w:t>
      </w:r>
    </w:p>
    <w:p w14:paraId="5C2BC6A5" w14:textId="77777777"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Po : prix au mois M0,</w:t>
      </w:r>
    </w:p>
    <w:p w14:paraId="167087ED" w14:textId="77777777"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ICHT-N : dernier indice ICHT-N connu à la date de révision des prix,</w:t>
      </w:r>
    </w:p>
    <w:p w14:paraId="761B5CB8" w14:textId="77777777"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ICHT-No : Indice ICHT-N au mois M0.</w:t>
      </w:r>
    </w:p>
    <w:p w14:paraId="12C105F1"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120DB536" w14:textId="51D2AA66" w:rsidR="00B42ED3" w:rsidRPr="00546FE0" w:rsidRDefault="00B42ED3" w:rsidP="00B42ED3">
      <w:pPr>
        <w:pStyle w:val="En-tte"/>
        <w:spacing w:after="120" w:line="360" w:lineRule="auto"/>
        <w:rPr>
          <w:rFonts w:ascii="Arial Narrow" w:hAnsi="Arial Narrow"/>
        </w:rPr>
      </w:pPr>
      <w:r w:rsidRPr="00546FE0">
        <w:rPr>
          <w:rFonts w:ascii="Arial Narrow" w:hAnsi="Arial Narrow"/>
        </w:rPr>
        <w:t>La révision des prix fera l’objet d’une vérification e</w:t>
      </w:r>
      <w:r w:rsidR="000C10A2" w:rsidRPr="00546FE0">
        <w:rPr>
          <w:rFonts w:ascii="Arial Narrow" w:hAnsi="Arial Narrow"/>
        </w:rPr>
        <w:t>t d’une validation par l’</w:t>
      </w:r>
      <w:r w:rsidR="000B3B2B">
        <w:rPr>
          <w:rFonts w:ascii="Arial Narrow" w:hAnsi="Arial Narrow"/>
        </w:rPr>
        <w:t>EPMO-VGE</w:t>
      </w:r>
      <w:r w:rsidRPr="00546FE0">
        <w:rPr>
          <w:rFonts w:ascii="Arial Narrow" w:hAnsi="Arial Narrow"/>
        </w:rPr>
        <w:t xml:space="preserve">. </w:t>
      </w:r>
    </w:p>
    <w:p w14:paraId="5FCAD361" w14:textId="77777777" w:rsidR="0014540C" w:rsidRPr="00546FE0"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031C11A6" w14:textId="0319AB13" w:rsidR="0014540C" w:rsidRDefault="000B3B2B" w:rsidP="00F664E5">
      <w:pPr>
        <w:pStyle w:val="En-tte"/>
        <w:jc w:val="both"/>
        <w:rPr>
          <w:rFonts w:ascii="Arial Narrow" w:hAnsi="Arial Narrow"/>
        </w:rPr>
      </w:pPr>
      <w:r w:rsidRPr="000B3B2B">
        <w:rPr>
          <w:rFonts w:ascii="Arial Narrow" w:hAnsi="Arial Narrow"/>
        </w:rPr>
        <w:t xml:space="preserve">Le titulaire du marché devra fournir les pièces financières révisées (format.xlsx) pour vérification du service des affaires financières de la direction administrative et financière. </w:t>
      </w:r>
      <w:hyperlink r:id="rId8" w:history="1">
        <w:r w:rsidR="00DA5349" w:rsidRPr="00376678">
          <w:rPr>
            <w:rStyle w:val="Lienhypertexte"/>
            <w:rFonts w:ascii="Arial Narrow" w:hAnsi="Arial Narrow"/>
          </w:rPr>
          <w:t>annette.schilling@musee-orsay.fr</w:t>
        </w:r>
      </w:hyperlink>
      <w:r w:rsidR="00F664E5">
        <w:rPr>
          <w:rFonts w:ascii="Arial Narrow" w:hAnsi="Arial Narrow"/>
        </w:rPr>
        <w:t xml:space="preserve"> copie </w:t>
      </w:r>
      <w:hyperlink r:id="rId9" w:history="1">
        <w:r w:rsidR="00F664E5" w:rsidRPr="007B1AE6">
          <w:rPr>
            <w:rStyle w:val="Lienhypertexte"/>
            <w:rFonts w:ascii="Arial Narrow" w:hAnsi="Arial Narrow"/>
          </w:rPr>
          <w:t>juridique@musee-orsay.fr</w:t>
        </w:r>
      </w:hyperlink>
    </w:p>
    <w:p w14:paraId="606E0F3F" w14:textId="77777777" w:rsidR="00F664E5" w:rsidRPr="00546FE0" w:rsidRDefault="00F664E5" w:rsidP="00F664E5">
      <w:pPr>
        <w:pStyle w:val="En-tte"/>
        <w:jc w:val="both"/>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77777777" w:rsidR="0014540C" w:rsidRPr="00546FE0"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Avance</w:t>
      </w:r>
    </w:p>
    <w:p w14:paraId="03A2E60F" w14:textId="127586DC" w:rsidR="0014540C" w:rsidRDefault="0014540C" w:rsidP="0014540C">
      <w:pPr>
        <w:pStyle w:val="En-tte"/>
        <w:spacing w:after="120" w:line="360" w:lineRule="auto"/>
        <w:rPr>
          <w:rFonts w:ascii="Arial Narrow" w:hAnsi="Arial Narrow"/>
        </w:rPr>
      </w:pPr>
      <w:r w:rsidRPr="00546FE0">
        <w:rPr>
          <w:rFonts w:ascii="Arial Narrow" w:hAnsi="Arial Narrow"/>
        </w:rPr>
        <w:t xml:space="preserve">Pour chaque marché subséquent, une avance est versée au titulaire dans les conditions fixées à l’option A de l’article </w:t>
      </w:r>
      <w:r w:rsidRPr="00546FE0">
        <w:rPr>
          <w:rFonts w:ascii="Arial Narrow" w:hAnsi="Arial Narrow"/>
          <w:bCs/>
          <w:i/>
          <w:iCs/>
        </w:rPr>
        <w:t>11.1 du CCAG-FCS</w:t>
      </w:r>
      <w:r w:rsidRPr="00546FE0">
        <w:rPr>
          <w:rFonts w:ascii="Arial Narrow" w:hAnsi="Arial Narrow"/>
          <w:b/>
          <w:bCs/>
          <w:i/>
          <w:iCs/>
        </w:rPr>
        <w:t xml:space="preserve"> </w:t>
      </w:r>
      <w:r w:rsidRPr="00546FE0">
        <w:rPr>
          <w:rFonts w:ascii="Arial Narrow" w:hAnsi="Arial Narrow"/>
        </w:rPr>
        <w:t xml:space="preserve">et </w:t>
      </w:r>
      <w:r w:rsidRPr="00546FE0">
        <w:rPr>
          <w:rFonts w:ascii="Arial Narrow" w:hAnsi="Arial Narrow"/>
          <w:bCs/>
        </w:rPr>
        <w:t>aux articles R. 2191-3 et suivants du</w:t>
      </w:r>
      <w:r w:rsidRPr="00546FE0">
        <w:rPr>
          <w:rFonts w:ascii="Arial Narrow" w:hAnsi="Arial Narrow"/>
          <w:b/>
          <w:bCs/>
        </w:rPr>
        <w:t xml:space="preserve"> </w:t>
      </w:r>
      <w:r w:rsidRPr="00546FE0">
        <w:rPr>
          <w:rFonts w:ascii="Arial Narrow" w:hAnsi="Arial Narrow"/>
        </w:rPr>
        <w:t>Code de la commande publique, sauf si celui-ci y renonce dans le marché subséquent</w:t>
      </w:r>
    </w:p>
    <w:p w14:paraId="1B606D39" w14:textId="3FAB773C" w:rsidR="0014540C" w:rsidRPr="00A11B7D" w:rsidRDefault="002724FC" w:rsidP="00A11B7D">
      <w:pPr>
        <w:pStyle w:val="En-tte"/>
        <w:spacing w:after="120" w:line="360" w:lineRule="auto"/>
        <w:jc w:val="both"/>
        <w:rPr>
          <w:rFonts w:ascii="Arial Narrow" w:hAnsi="Arial Narrow"/>
          <w:b/>
          <w:bCs/>
          <w:i/>
          <w:iCs/>
        </w:rPr>
      </w:pPr>
      <w:r w:rsidRPr="00EC0A28">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marché. Il devra être terminé lorsque le montant des prestations exécutées atteindra 80% du montant toutes taxes comprises du marché</w:t>
      </w:r>
      <w:r w:rsidR="00FE25E8">
        <w:rPr>
          <w:rFonts w:ascii="Arial Narrow" w:hAnsi="Arial Narrow"/>
        </w:rPr>
        <w:t>.</w:t>
      </w:r>
    </w:p>
    <w:p w14:paraId="1078C827" w14:textId="1E2E70CA" w:rsidR="004C5CF1" w:rsidRPr="00546FE0" w:rsidRDefault="008816BA"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sidR="004C5CF1" w:rsidRPr="00546FE0">
        <w:rPr>
          <w:rFonts w:ascii="Arial Narrow" w:hAnsi="Arial Narrow"/>
          <w:b/>
        </w:rPr>
        <w:t>Paiement des marchés subséquents</w:t>
      </w:r>
    </w:p>
    <w:p w14:paraId="04A32B85" w14:textId="77777777" w:rsidR="004C5CF1" w:rsidRPr="00546FE0" w:rsidRDefault="004D0CF2" w:rsidP="004D0CF2">
      <w:pPr>
        <w:pStyle w:val="En-tte"/>
        <w:spacing w:after="120" w:line="360" w:lineRule="auto"/>
        <w:jc w:val="both"/>
        <w:rPr>
          <w:rFonts w:ascii="Arial Narrow" w:hAnsi="Arial Narrow"/>
        </w:rPr>
      </w:pPr>
      <w:r w:rsidRPr="00546FE0">
        <w:rPr>
          <w:rFonts w:ascii="Arial Narrow" w:hAnsi="Arial Narrow"/>
        </w:rPr>
        <w:t>Le paiement des prestations s’effectuera s</w:t>
      </w:r>
      <w:r w:rsidR="004C5CF1" w:rsidRPr="00546FE0">
        <w:rPr>
          <w:rFonts w:ascii="Arial Narrow" w:hAnsi="Arial Narrow"/>
        </w:rPr>
        <w:t>elon les modalités définies dans chaque marché subséquent</w:t>
      </w:r>
      <w:r w:rsidRPr="00546FE0">
        <w:rPr>
          <w:rFonts w:ascii="Arial Narrow" w:hAnsi="Arial Narrow"/>
        </w:rPr>
        <w:t>.</w:t>
      </w:r>
    </w:p>
    <w:p w14:paraId="02C930A6" w14:textId="15E93CD4" w:rsidR="005413BD" w:rsidRPr="00546FE0" w:rsidRDefault="008816BA"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sidR="005413BD" w:rsidRPr="00546FE0">
        <w:rPr>
          <w:rFonts w:ascii="Arial Narrow" w:hAnsi="Arial Narrow"/>
          <w:b/>
        </w:rPr>
        <w:t>Délai global de paiement</w:t>
      </w:r>
    </w:p>
    <w:p w14:paraId="7B5C0949" w14:textId="6AEFF9F3"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lastRenderedPageBreak/>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AC3D340" w:rsidR="00367714" w:rsidRPr="00546FE0" w:rsidRDefault="00F3541F"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sidR="00367714"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5D62523F"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0B3B2B">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68AF5EDB" w:rsidR="006A63E0" w:rsidRPr="00546FE0" w:rsidRDefault="000D622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073F4444"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0B3B2B">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480D6FCA" w:rsidR="006A63E0" w:rsidRPr="00546FE0" w:rsidRDefault="00A11B7D" w:rsidP="006A63E0">
      <w:pPr>
        <w:pStyle w:val="En-tte"/>
        <w:spacing w:after="120" w:line="360" w:lineRule="auto"/>
        <w:rPr>
          <w:rFonts w:ascii="Arial Narrow" w:hAnsi="Arial Narrow"/>
        </w:rPr>
      </w:pPr>
      <w:r>
        <w:rPr>
          <w:rFonts w:ascii="Arial Narrow" w:hAnsi="Arial Narrow"/>
        </w:rPr>
        <w:t xml:space="preserve">- le numéro du marché </w:t>
      </w:r>
      <w:r w:rsidR="006A63E0" w:rsidRPr="00546FE0">
        <w:rPr>
          <w:rFonts w:ascii="Arial Narrow" w:hAnsi="Arial Narrow"/>
        </w:rPr>
        <w:t>ou du marché subséquent ;</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2116E355"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0"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lastRenderedPageBreak/>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B601D57"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36FCE28B"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0B3B2B">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7B29F2" w14:textId="12A5FAFF" w:rsidR="003978C9" w:rsidRPr="00546FE0" w:rsidRDefault="00F6320E" w:rsidP="00245388">
      <w:pPr>
        <w:pStyle w:val="En-tte"/>
        <w:numPr>
          <w:ilvl w:val="0"/>
          <w:numId w:val="13"/>
        </w:numPr>
        <w:spacing w:after="120" w:line="360" w:lineRule="auto"/>
        <w:jc w:val="both"/>
        <w:rPr>
          <w:rFonts w:ascii="Arial Narrow" w:hAnsi="Arial Narrow"/>
          <w:i/>
          <w:color w:val="ED7D31" w:themeColor="accent2"/>
        </w:rPr>
      </w:pPr>
      <w:r w:rsidRPr="00546FE0">
        <w:rPr>
          <w:rFonts w:ascii="Arial Narrow" w:hAnsi="Arial Narrow"/>
          <w:i/>
          <w:color w:val="ED7D31" w:themeColor="accent2"/>
        </w:rPr>
        <w:t xml:space="preserve"> </w:t>
      </w:r>
      <w:proofErr w:type="gramStart"/>
      <w:r w:rsidR="003978C9" w:rsidRPr="00546FE0">
        <w:rPr>
          <w:rFonts w:ascii="Arial Narrow" w:hAnsi="Arial Narrow"/>
        </w:rPr>
        <w:t>le</w:t>
      </w:r>
      <w:proofErr w:type="gramEnd"/>
      <w:r w:rsidR="003978C9" w:rsidRPr="00546FE0">
        <w:rPr>
          <w:rFonts w:ascii="Arial Narrow" w:hAnsi="Arial Narrow"/>
        </w:rPr>
        <w:t xml:space="preserve"> code service qui sera mentionné dans le bon de commande ou le marché subséquent</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0A3F625" w14:textId="77777777"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49DC4801"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7B1BFC2D"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CCAG-FCS, l’</w:t>
      </w:r>
      <w:r w:rsidR="000B3B2B">
        <w:rPr>
          <w:rFonts w:ascii="Arial Narrow" w:hAnsi="Arial Narrow"/>
        </w:rPr>
        <w:t>EPMO-VGE</w:t>
      </w:r>
      <w:r w:rsidRPr="00546FE0">
        <w:rPr>
          <w:rFonts w:ascii="Arial Narrow" w:hAnsi="Arial Narrow"/>
        </w:rPr>
        <w:t xml:space="preserve"> n’invitera pas préalablement le titulaire à présenter ses observations.</w:t>
      </w:r>
    </w:p>
    <w:p w14:paraId="0917736C" w14:textId="77777777" w:rsidR="007D159B" w:rsidRPr="00546FE0"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CCAG-FCS.</w:t>
      </w:r>
    </w:p>
    <w:p w14:paraId="63B3AAFB" w14:textId="77777777" w:rsidR="002F4374" w:rsidRPr="00546FE0" w:rsidRDefault="002F4374" w:rsidP="002F4374">
      <w:pPr>
        <w:pStyle w:val="En-tte"/>
        <w:spacing w:after="120" w:line="360" w:lineRule="auto"/>
        <w:rPr>
          <w:rFonts w:ascii="Arial Narrow" w:hAnsi="Arial Narrow"/>
        </w:rPr>
      </w:pPr>
      <w:r w:rsidRPr="00546FE0">
        <w:rPr>
          <w:rFonts w:ascii="Arial Narrow" w:hAnsi="Arial Narrow"/>
        </w:rPr>
        <w:t>Les pénalités sont les suivantes :</w:t>
      </w:r>
    </w:p>
    <w:p w14:paraId="4DBDE884" w14:textId="53194BD8" w:rsidR="002F4374" w:rsidRDefault="00F3541F" w:rsidP="00F3541F">
      <w:pPr>
        <w:pStyle w:val="Paragraphedeliste"/>
        <w:numPr>
          <w:ilvl w:val="0"/>
          <w:numId w:val="13"/>
        </w:numPr>
        <w:spacing w:after="0"/>
        <w:jc w:val="both"/>
        <w:rPr>
          <w:rFonts w:ascii="Arial Narrow" w:eastAsia="Calibri" w:hAnsi="Arial Narrow" w:cs="Arial"/>
          <w:szCs w:val="20"/>
        </w:rPr>
      </w:pPr>
      <w:r w:rsidRPr="00F3541F">
        <w:rPr>
          <w:rFonts w:ascii="Arial Narrow" w:eastAsia="Calibri" w:hAnsi="Arial Narrow" w:cs="Arial"/>
          <w:szCs w:val="20"/>
          <w:u w:val="single"/>
        </w:rPr>
        <w:t>Pénalités de retard</w:t>
      </w:r>
      <w:r w:rsidRPr="00F3541F">
        <w:rPr>
          <w:rFonts w:ascii="Arial Narrow" w:eastAsia="Calibri" w:hAnsi="Arial Narrow" w:cs="Arial"/>
          <w:szCs w:val="20"/>
        </w:rPr>
        <w:t> : Le non-respect des délais d’exécution du marché subséquent entraine les pénalités prévues à l’article 14.1 du C.C.A.G-F.</w:t>
      </w:r>
      <w:proofErr w:type="gramStart"/>
      <w:r w:rsidRPr="00F3541F">
        <w:rPr>
          <w:rFonts w:ascii="Arial Narrow" w:eastAsia="Calibri" w:hAnsi="Arial Narrow" w:cs="Arial"/>
          <w:szCs w:val="20"/>
        </w:rPr>
        <w:t>C.S</w:t>
      </w:r>
      <w:proofErr w:type="gramEnd"/>
      <w:r w:rsidR="00DE7E02">
        <w:rPr>
          <w:rFonts w:ascii="Arial Narrow" w:eastAsia="Calibri" w:hAnsi="Arial Narrow" w:cs="Arial"/>
          <w:szCs w:val="20"/>
        </w:rPr>
        <w:t> ;</w:t>
      </w:r>
    </w:p>
    <w:p w14:paraId="0C7F743D" w14:textId="77777777" w:rsidR="00DE7E02" w:rsidRPr="00F3541F" w:rsidRDefault="00DE7E02" w:rsidP="00DE7E02">
      <w:pPr>
        <w:pStyle w:val="Paragraphedeliste"/>
        <w:spacing w:after="0"/>
        <w:ind w:left="360"/>
        <w:jc w:val="both"/>
        <w:rPr>
          <w:rFonts w:ascii="Arial Narrow" w:eastAsia="Calibri" w:hAnsi="Arial Narrow" w:cs="Arial"/>
          <w:szCs w:val="20"/>
        </w:rPr>
      </w:pPr>
    </w:p>
    <w:p w14:paraId="34FD3279" w14:textId="031A80D2" w:rsidR="00F3541F" w:rsidRPr="00F3541F" w:rsidRDefault="00F3541F" w:rsidP="00F3541F">
      <w:pPr>
        <w:pStyle w:val="Paragraphedeliste"/>
        <w:numPr>
          <w:ilvl w:val="0"/>
          <w:numId w:val="13"/>
        </w:numPr>
        <w:spacing w:after="0"/>
        <w:jc w:val="both"/>
        <w:rPr>
          <w:rFonts w:ascii="Arial Narrow" w:eastAsia="Calibri" w:hAnsi="Arial Narrow" w:cs="Arial"/>
          <w:szCs w:val="20"/>
        </w:rPr>
      </w:pPr>
      <w:r w:rsidRPr="00F3541F">
        <w:rPr>
          <w:rFonts w:ascii="Arial Narrow" w:eastAsia="Calibri" w:hAnsi="Arial Narrow" w:cs="Arial"/>
          <w:szCs w:val="20"/>
          <w:u w:val="single"/>
        </w:rPr>
        <w:t>Pénalités pour absence de réponse aux marchés subséquent</w:t>
      </w:r>
      <w:r w:rsidRPr="00F3541F">
        <w:rPr>
          <w:rFonts w:ascii="Arial Narrow" w:eastAsia="Calibri" w:hAnsi="Arial Narrow" w:cs="Arial"/>
          <w:szCs w:val="20"/>
        </w:rPr>
        <w:t>s : Toute absence de réponse aux marchés subséquents fait encourir au titulaire de l’accord-cadre une pénalité forfaitaire de 300 €, sauf pour le cas où le défaut de réponse serait justifié.</w:t>
      </w:r>
    </w:p>
    <w:p w14:paraId="2ACCB0F0" w14:textId="77777777" w:rsidR="00F3541F" w:rsidRPr="00F3541F" w:rsidRDefault="00F3541F" w:rsidP="00F3541F">
      <w:pPr>
        <w:pStyle w:val="Paragraphedeliste"/>
        <w:spacing w:after="0"/>
        <w:ind w:left="360"/>
        <w:jc w:val="both"/>
        <w:rPr>
          <w:rFonts w:ascii="Arial Narrow" w:eastAsia="Calibri" w:hAnsi="Arial Narrow" w:cs="Arial"/>
          <w:sz w:val="20"/>
          <w:szCs w:val="20"/>
        </w:rPr>
      </w:pPr>
    </w:p>
    <w:p w14:paraId="098DEFB7" w14:textId="657366D4" w:rsidR="002F4374"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173CCCDA" w14:textId="090D3C31" w:rsidR="00F3541F" w:rsidRDefault="00F3541F" w:rsidP="00FC4A03">
      <w:pPr>
        <w:pStyle w:val="En-tte"/>
        <w:spacing w:after="120" w:line="360" w:lineRule="auto"/>
        <w:jc w:val="both"/>
        <w:rPr>
          <w:rFonts w:ascii="Arial Narrow" w:hAnsi="Arial Narrow"/>
        </w:rPr>
      </w:pPr>
    </w:p>
    <w:p w14:paraId="2531F834" w14:textId="47A1E124" w:rsidR="00043D85" w:rsidRDefault="00043D85" w:rsidP="00FC4A03">
      <w:pPr>
        <w:pStyle w:val="En-tte"/>
        <w:spacing w:after="120" w:line="360" w:lineRule="auto"/>
        <w:jc w:val="both"/>
        <w:rPr>
          <w:rFonts w:ascii="Arial Narrow" w:hAnsi="Arial Narrow"/>
        </w:rPr>
      </w:pPr>
    </w:p>
    <w:p w14:paraId="28470463" w14:textId="77777777" w:rsidR="00F3541F" w:rsidRPr="00546FE0" w:rsidRDefault="00F3541F" w:rsidP="00FC4A03">
      <w:pPr>
        <w:pStyle w:val="En-tte"/>
        <w:spacing w:after="120" w:line="360" w:lineRule="auto"/>
        <w:jc w:val="both"/>
        <w:rPr>
          <w:rFonts w:ascii="Arial Narrow" w:hAnsi="Arial Narrow"/>
        </w:rPr>
      </w:pPr>
    </w:p>
    <w:p w14:paraId="090BA9A0" w14:textId="55413452"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4D606038"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0B3B2B">
        <w:rPr>
          <w:rFonts w:ascii="Arial Narrow" w:hAnsi="Arial Narrow"/>
        </w:rPr>
        <w:t>EPMO-VGE</w:t>
      </w:r>
      <w:r w:rsidRPr="00546FE0">
        <w:rPr>
          <w:rFonts w:ascii="Arial Narrow" w:hAnsi="Arial Narrow"/>
        </w:rPr>
        <w:t xml:space="preserve"> l’acceptation de chaque sous-traitant ainsi que l’agrément de ses conditions de paiement. </w:t>
      </w:r>
      <w:r w:rsidR="00476011" w:rsidRPr="00476011">
        <w:rPr>
          <w:rFonts w:ascii="Arial Narrow" w:hAnsi="Arial Narrow"/>
        </w:rPr>
        <w:t xml:space="preserve">Il est rappelé qu’en application des dispositions de l’article L. 2193-3 du code de la commande publique, </w:t>
      </w:r>
      <w:r w:rsidR="00476011" w:rsidRPr="00476011">
        <w:rPr>
          <w:rFonts w:ascii="Arial Narrow" w:hAnsi="Arial Narrow"/>
          <w:b/>
          <w:u w:val="single"/>
        </w:rPr>
        <w:t>le titulaire ne peut intégralement sous-traiter l’exécution des prestations du présent marché.</w:t>
      </w:r>
    </w:p>
    <w:p w14:paraId="38C35094" w14:textId="77777777"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37F71F8C" w14:textId="77777777" w:rsidR="003F5F33" w:rsidRPr="00546FE0" w:rsidRDefault="003F5F33" w:rsidP="00043D85">
      <w:pPr>
        <w:pStyle w:val="En-tte"/>
        <w:spacing w:after="120" w:line="360" w:lineRule="auto"/>
        <w:jc w:val="both"/>
        <w:rPr>
          <w:rFonts w:ascii="Arial Narrow" w:hAnsi="Arial Narrow"/>
        </w:rPr>
      </w:pP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1"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6AB27A7E" w:rsidR="00043D85" w:rsidRPr="00546FE0" w:rsidRDefault="00043D85" w:rsidP="00043D85">
      <w:pPr>
        <w:pStyle w:val="En-tte"/>
        <w:spacing w:after="120" w:line="360" w:lineRule="auto"/>
        <w:rPr>
          <w:rFonts w:ascii="Arial Narrow" w:hAnsi="Arial Narrow"/>
        </w:rPr>
      </w:pPr>
      <w:r w:rsidRPr="00546FE0">
        <w:rPr>
          <w:rFonts w:ascii="Arial Narrow" w:hAnsi="Arial Narrow"/>
        </w:rPr>
        <w:t>La déclaration de sous-traitance doit en tout état de cause être adressée à l’</w:t>
      </w:r>
      <w:r w:rsidR="000B3B2B">
        <w:rPr>
          <w:rFonts w:ascii="Arial Narrow" w:hAnsi="Arial Narrow"/>
        </w:rPr>
        <w:t>EPMO-VGE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66EB94C0"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0B3B2B">
        <w:rPr>
          <w:rFonts w:ascii="Arial Narrow" w:hAnsi="Arial Narrow"/>
        </w:rPr>
        <w:t>EPMO-VGE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2428F62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lastRenderedPageBreak/>
        <w:t>Le titulaire est responsable des dommages de toute nature qui pourraient être occasionnés aux biens ou aux personnes, de l'</w:t>
      </w:r>
      <w:r w:rsidR="000B3B2B">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1B9A5F80"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0B3B2B">
        <w:rPr>
          <w:rFonts w:ascii="Arial Narrow" w:hAnsi="Arial Narrow"/>
        </w:rPr>
        <w:t>EPMO-VGE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1004D8FC" w14:textId="5BE1F00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 xml:space="preserve">Le titulaire transmet à l’EPMO-VGE, tous les six mois et pendant toute la durée du marché au Directeur des Affaires financières de l’EPMO-VGE, via le service E-Attestation accessible sur le lien suivant : </w:t>
      </w:r>
      <w:hyperlink r:id="rId12" w:history="1">
        <w:r w:rsidRPr="00726E74">
          <w:rPr>
            <w:rStyle w:val="Lienhypertexte"/>
            <w:rFonts w:ascii="Arial Narrow" w:hAnsi="Arial Narrow"/>
          </w:rPr>
          <w:t>https://www.e-attestations.com/</w:t>
        </w:r>
      </w:hyperlink>
      <w:r w:rsidRPr="00726E74">
        <w:rPr>
          <w:rFonts w:ascii="Arial Narrow" w:hAnsi="Arial Narrow"/>
        </w:rPr>
        <w:t xml:space="preserve"> :</w:t>
      </w:r>
    </w:p>
    <w:p w14:paraId="250502CE" w14:textId="7777777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4C4968B6" w14:textId="2828617E"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4F2DAF46" w14:textId="28B47836" w:rsidR="00726E74" w:rsidRDefault="00726E74" w:rsidP="00726E74">
      <w:pPr>
        <w:pStyle w:val="En-tte"/>
        <w:spacing w:after="120" w:line="360" w:lineRule="auto"/>
        <w:jc w:val="both"/>
        <w:rPr>
          <w:rFonts w:ascii="Arial Narrow" w:hAnsi="Arial Narrow"/>
        </w:rPr>
      </w:pPr>
      <w:r>
        <w:rPr>
          <w:rFonts w:ascii="Arial Narrow" w:hAnsi="Arial Narrow"/>
        </w:rPr>
        <w:t>-</w:t>
      </w:r>
      <w:r w:rsidRPr="00726E74">
        <w:rPr>
          <w:rFonts w:ascii="Arial Narrow" w:hAnsi="Arial Narrow"/>
        </w:rPr>
        <w:t>Une attestation d’assurance professionnelle.</w:t>
      </w:r>
    </w:p>
    <w:p w14:paraId="735E004C" w14:textId="15E50AA7" w:rsidR="00AD439B" w:rsidRPr="00546FE0" w:rsidRDefault="00AD439B" w:rsidP="00737BE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051536E6"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sidR="000B3B2B">
        <w:rPr>
          <w:rFonts w:ascii="Arial Narrow" w:hAnsi="Arial Narrow"/>
        </w:rPr>
        <w:t>EPMO-VGE</w:t>
      </w:r>
      <w:r w:rsidRPr="00546FE0">
        <w:rPr>
          <w:rFonts w:ascii="Arial Narrow" w:hAnsi="Arial Narrow"/>
        </w:rPr>
        <w:t>.</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27593CA" w14:textId="77777777" w:rsidR="00CF6C06" w:rsidRPr="00F30726" w:rsidRDefault="00CF6C06" w:rsidP="00CF6C06">
      <w:pPr>
        <w:pStyle w:val="En-tte"/>
        <w:numPr>
          <w:ilvl w:val="0"/>
          <w:numId w:val="20"/>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lastRenderedPageBreak/>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3B39DC1"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CB7A1C6"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4BC5E64C"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220C263"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3DCDFC19"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224D2467" w14:textId="1E282B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sidR="000B3B2B">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047A3B52" w14:textId="77777777"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042593B" w14:textId="562FB8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0B3B2B">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6C661F39" w14:textId="34A62D01"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0B3B2B">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24C8B20A" w14:textId="186157EF"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sidR="000B3B2B">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0B3B2B">
        <w:rPr>
          <w:rFonts w:ascii="Arial Narrow" w:hAnsi="Arial Narrow"/>
        </w:rPr>
        <w:t>EPMO-VGE</w:t>
      </w:r>
      <w:r w:rsidRPr="00F30726">
        <w:rPr>
          <w:rFonts w:ascii="Arial Narrow" w:hAnsi="Arial Narrow"/>
        </w:rPr>
        <w:t xml:space="preserve"> des mesures prises pour y remédier. </w:t>
      </w:r>
    </w:p>
    <w:p w14:paraId="4262E580" w14:textId="014352DE"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0B3B2B">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670B3E5B" w14:textId="0CB87B03" w:rsidR="00CF6C06" w:rsidRPr="00F30726" w:rsidRDefault="00CF6C06" w:rsidP="00CF6C06">
      <w:pPr>
        <w:pStyle w:val="En-tte"/>
        <w:numPr>
          <w:ilvl w:val="0"/>
          <w:numId w:val="20"/>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0B3B2B">
        <w:rPr>
          <w:rFonts w:ascii="Arial Narrow" w:hAnsi="Arial Narrow"/>
        </w:rPr>
        <w:t>EPMO-VGE</w:t>
      </w:r>
      <w:r w:rsidRPr="00F30726">
        <w:rPr>
          <w:rFonts w:ascii="Arial Narrow" w:hAnsi="Arial Narrow"/>
        </w:rPr>
        <w:t xml:space="preserve"> prononce : </w:t>
      </w:r>
    </w:p>
    <w:p w14:paraId="3564279D"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w:t>
      </w:r>
      <w:r w:rsidRPr="00F30726">
        <w:rPr>
          <w:rFonts w:ascii="Arial Narrow" w:hAnsi="Arial Narrow"/>
        </w:rPr>
        <w:lastRenderedPageBreak/>
        <w:t>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E5083DB"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1DF4FE2"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7F087D72" w14:textId="77777777" w:rsidR="00CF6C06" w:rsidRPr="00F3072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03C17148" w14:textId="6FB30F5A" w:rsidR="00CF6C0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particulière gravité, l’</w:t>
      </w:r>
      <w:r w:rsidR="000B3B2B">
        <w:rPr>
          <w:rFonts w:ascii="Arial Narrow" w:hAnsi="Arial Narrow"/>
        </w:rPr>
        <w:t>EPMO-VGE</w:t>
      </w:r>
      <w:r w:rsidRPr="00F30726">
        <w:rPr>
          <w:rFonts w:ascii="Arial Narrow" w:hAnsi="Arial Narrow"/>
        </w:rPr>
        <w:t xml:space="preserve"> prononce la résiliation du contrat pour faute du titulaire, selon les modalités défin</w:t>
      </w:r>
      <w:r w:rsidR="00DD3949">
        <w:rPr>
          <w:rFonts w:ascii="Arial Narrow" w:hAnsi="Arial Narrow"/>
        </w:rPr>
        <w:t>ies à l’article 41.1 du CCAG-FCS</w:t>
      </w:r>
      <w:r w:rsidRPr="00F30726">
        <w:rPr>
          <w:rFonts w:ascii="Arial Narrow" w:hAnsi="Arial Narrow"/>
        </w:rPr>
        <w:t>. L’</w:t>
      </w:r>
      <w:r w:rsidR="000B3B2B">
        <w:rPr>
          <w:rFonts w:ascii="Arial Narrow" w:hAnsi="Arial Narrow"/>
        </w:rPr>
        <w:t>EPMO-VGE</w:t>
      </w:r>
      <w:r w:rsidRPr="00F30726">
        <w:rPr>
          <w:rFonts w:ascii="Arial Narrow" w:hAnsi="Arial Narrow"/>
        </w:rPr>
        <w:t xml:space="preserve"> notifie au préalable une mise en demeure au titulaire afin de l’informer de la sanction envisagée, et 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à compter de la réception du courrier de mise en demeure. Si cette mise en demeure s’avère infructueuse, </w:t>
      </w:r>
      <w:r>
        <w:rPr>
          <w:rFonts w:ascii="Arial Narrow" w:hAnsi="Arial Narrow"/>
        </w:rPr>
        <w:t>l’</w:t>
      </w:r>
      <w:r w:rsidR="000B3B2B">
        <w:rPr>
          <w:rFonts w:ascii="Arial Narrow" w:hAnsi="Arial Narrow"/>
        </w:rPr>
        <w:t>EPMO-VGE</w:t>
      </w:r>
      <w:r w:rsidRPr="00F30726">
        <w:rPr>
          <w:rFonts w:ascii="Arial Narrow" w:hAnsi="Arial Narrow"/>
        </w:rPr>
        <w:t xml:space="preserve"> prononce la résiliation pour faute du contrat. La résiliation est prononcée aux frais et risques du titulaire conformément à l’article </w:t>
      </w:r>
      <w:r w:rsidR="00DD3949">
        <w:rPr>
          <w:rFonts w:ascii="Arial Narrow" w:hAnsi="Arial Narrow"/>
        </w:rPr>
        <w:t>41.1</w:t>
      </w:r>
      <w:r w:rsidRPr="00F30726">
        <w:rPr>
          <w:rFonts w:ascii="Arial Narrow" w:hAnsi="Arial Narrow"/>
        </w:rPr>
        <w:t xml:space="preserve"> du CCAG-</w:t>
      </w:r>
      <w:r w:rsidR="00DD3949">
        <w:rPr>
          <w:rFonts w:ascii="Arial Narrow" w:hAnsi="Arial Narrow"/>
        </w:rPr>
        <w:t>FCS</w:t>
      </w:r>
      <w:r w:rsidRPr="00F30726">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6E7BFBA4"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0B3B2B">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46 du CCAG-FCS.</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58AF3F53" w:rsidR="00AD439B" w:rsidRPr="00546FE0" w:rsidRDefault="00AD439B" w:rsidP="00AD439B">
      <w:pPr>
        <w:pStyle w:val="En-tte"/>
        <w:spacing w:after="120" w:line="360" w:lineRule="auto"/>
        <w:rPr>
          <w:rFonts w:ascii="Arial Narrow" w:hAnsi="Arial Narrow"/>
        </w:rPr>
      </w:pPr>
      <w:r w:rsidRPr="00546FE0">
        <w:rPr>
          <w:rFonts w:ascii="Arial Narrow" w:hAnsi="Arial Narrow"/>
        </w:rPr>
        <w:lastRenderedPageBreak/>
        <w:t>L'</w:t>
      </w:r>
      <w:r w:rsidR="000B3B2B">
        <w:rPr>
          <w:rFonts w:ascii="Arial Narrow" w:hAnsi="Arial Narrow"/>
        </w:rPr>
        <w:t>EPMO-VGE</w:t>
      </w:r>
      <w:r w:rsidRPr="00546FE0">
        <w:rPr>
          <w:rFonts w:ascii="Arial Narrow" w:hAnsi="Arial Narrow"/>
        </w:rPr>
        <w:t xml:space="preserve"> se réserve la faculté de résilier le présent marché dans les conditions prévues au chapitre 7 du CCAG-FCS.</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4E0928D4" w14:textId="77777777" w:rsidR="00165639" w:rsidRPr="00546FE0" w:rsidRDefault="00165639" w:rsidP="00165639">
      <w:pPr>
        <w:pStyle w:val="En-tte"/>
        <w:spacing w:after="120" w:line="360" w:lineRule="auto"/>
        <w:jc w:val="both"/>
        <w:rPr>
          <w:rFonts w:ascii="Arial Narrow" w:hAnsi="Arial Narrow"/>
        </w:rPr>
      </w:pPr>
      <w:r w:rsidRPr="00546FE0">
        <w:rPr>
          <w:rFonts w:ascii="Arial Narrow" w:hAnsi="Arial Narrow"/>
        </w:rPr>
        <w:t>L'article 14</w:t>
      </w:r>
      <w:r w:rsidR="00AD439B" w:rsidRPr="00546FE0">
        <w:rPr>
          <w:rFonts w:ascii="Arial Narrow" w:hAnsi="Arial Narrow"/>
        </w:rPr>
        <w:t xml:space="preserve"> (pénalités) du présent document déroge </w:t>
      </w:r>
      <w:r w:rsidRPr="00546FE0">
        <w:rPr>
          <w:rFonts w:ascii="Arial Narrow" w:hAnsi="Arial Narrow"/>
        </w:rPr>
        <w:t>au 2</w:t>
      </w:r>
      <w:r w:rsidRPr="00546FE0">
        <w:rPr>
          <w:rFonts w:ascii="Arial Narrow" w:hAnsi="Arial Narrow"/>
          <w:vertAlign w:val="superscript"/>
        </w:rPr>
        <w:t>ème</w:t>
      </w:r>
      <w:r w:rsidRPr="00546FE0">
        <w:rPr>
          <w:rFonts w:ascii="Arial Narrow" w:hAnsi="Arial Narrow"/>
        </w:rPr>
        <w:t xml:space="preserve"> alinéa de l’article 14.1.1 et à l’article 14.1.3 du CCAG-FCS.</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3"/>
      <w:headerReference w:type="first" r:id="rId14"/>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BF52E" w14:textId="77777777" w:rsidR="00470284" w:rsidRDefault="00470284" w:rsidP="00E42FF3">
      <w:pPr>
        <w:spacing w:after="0" w:line="240" w:lineRule="auto"/>
      </w:pPr>
      <w:r>
        <w:separator/>
      </w:r>
    </w:p>
  </w:endnote>
  <w:endnote w:type="continuationSeparator" w:id="0">
    <w:p w14:paraId="0CF3F88F" w14:textId="77777777" w:rsidR="00470284" w:rsidRDefault="00470284"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516EE8B1" w:rsidR="004A157C" w:rsidRDefault="004A157C">
        <w:pPr>
          <w:pStyle w:val="Pieddepage"/>
          <w:jc w:val="right"/>
        </w:pPr>
        <w:r>
          <w:fldChar w:fldCharType="begin"/>
        </w:r>
        <w:r>
          <w:instrText>PAGE   \* MERGEFORMAT</w:instrText>
        </w:r>
        <w:r>
          <w:fldChar w:fldCharType="separate"/>
        </w:r>
        <w:r w:rsidR="004E731F">
          <w:rPr>
            <w:noProof/>
          </w:rPr>
          <w:t>14</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E4EA3" w14:textId="77777777" w:rsidR="00470284" w:rsidRDefault="00470284" w:rsidP="00E42FF3">
      <w:pPr>
        <w:spacing w:after="0" w:line="240" w:lineRule="auto"/>
      </w:pPr>
      <w:r>
        <w:separator/>
      </w:r>
    </w:p>
  </w:footnote>
  <w:footnote w:type="continuationSeparator" w:id="0">
    <w:p w14:paraId="271F3637" w14:textId="77777777" w:rsidR="00470284" w:rsidRDefault="00470284"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A157C" w14:paraId="58381086" w14:textId="77777777" w:rsidTr="00E42FF3">
      <w:tc>
        <w:tcPr>
          <w:tcW w:w="2725" w:type="dxa"/>
        </w:tcPr>
        <w:p w14:paraId="4CB7F7E7" w14:textId="77777777" w:rsidR="004A157C" w:rsidRDefault="004A157C"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A157C" w:rsidRPr="008B551F" w:rsidRDefault="004A157C"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A157C" w:rsidRPr="008B551F" w:rsidRDefault="004A157C"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A157C" w:rsidRDefault="004A157C" w:rsidP="00E42FF3">
          <w:pPr>
            <w:pStyle w:val="En-tte"/>
            <w:tabs>
              <w:tab w:val="clear" w:pos="4536"/>
              <w:tab w:val="clear" w:pos="9072"/>
              <w:tab w:val="left" w:pos="4635"/>
            </w:tabs>
          </w:pPr>
        </w:p>
      </w:tc>
    </w:tr>
  </w:tbl>
  <w:p w14:paraId="79DED19F" w14:textId="77777777" w:rsidR="004A157C" w:rsidRDefault="004A15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7"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C232215"/>
    <w:multiLevelType w:val="hybridMultilevel"/>
    <w:tmpl w:val="5D4CA97A"/>
    <w:lvl w:ilvl="0" w:tplc="A2FAD3E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9"/>
  </w:num>
  <w:num w:numId="2">
    <w:abstractNumId w:val="2"/>
  </w:num>
  <w:num w:numId="3">
    <w:abstractNumId w:val="17"/>
  </w:num>
  <w:num w:numId="4">
    <w:abstractNumId w:val="3"/>
  </w:num>
  <w:num w:numId="5">
    <w:abstractNumId w:val="9"/>
  </w:num>
  <w:num w:numId="6">
    <w:abstractNumId w:val="0"/>
  </w:num>
  <w:num w:numId="7">
    <w:abstractNumId w:val="16"/>
  </w:num>
  <w:num w:numId="8">
    <w:abstractNumId w:val="10"/>
  </w:num>
  <w:num w:numId="9">
    <w:abstractNumId w:val="6"/>
  </w:num>
  <w:num w:numId="10">
    <w:abstractNumId w:val="13"/>
  </w:num>
  <w:num w:numId="11">
    <w:abstractNumId w:val="1"/>
  </w:num>
  <w:num w:numId="12">
    <w:abstractNumId w:val="15"/>
  </w:num>
  <w:num w:numId="13">
    <w:abstractNumId w:val="11"/>
  </w:num>
  <w:num w:numId="14">
    <w:abstractNumId w:val="7"/>
  </w:num>
  <w:num w:numId="15">
    <w:abstractNumId w:val="14"/>
  </w:num>
  <w:num w:numId="16">
    <w:abstractNumId w:val="20"/>
  </w:num>
  <w:num w:numId="17">
    <w:abstractNumId w:val="4"/>
  </w:num>
  <w:num w:numId="18">
    <w:abstractNumId w:val="18"/>
  </w:num>
  <w:num w:numId="19">
    <w:abstractNumId w:val="8"/>
  </w:num>
  <w:num w:numId="20">
    <w:abstractNumId w:val="5"/>
  </w:num>
  <w:num w:numId="21">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4FBE"/>
    <w:rsid w:val="0006022E"/>
    <w:rsid w:val="000B34BB"/>
    <w:rsid w:val="000B3B2B"/>
    <w:rsid w:val="000B3B70"/>
    <w:rsid w:val="000B52E8"/>
    <w:rsid w:val="000B7422"/>
    <w:rsid w:val="000C10A2"/>
    <w:rsid w:val="000D0217"/>
    <w:rsid w:val="000D317C"/>
    <w:rsid w:val="000D622D"/>
    <w:rsid w:val="000E7740"/>
    <w:rsid w:val="00106DDC"/>
    <w:rsid w:val="00116380"/>
    <w:rsid w:val="0014540C"/>
    <w:rsid w:val="00165639"/>
    <w:rsid w:val="00180990"/>
    <w:rsid w:val="001B44CB"/>
    <w:rsid w:val="001F6E69"/>
    <w:rsid w:val="0024335F"/>
    <w:rsid w:val="00245388"/>
    <w:rsid w:val="00250343"/>
    <w:rsid w:val="0025246C"/>
    <w:rsid w:val="00257918"/>
    <w:rsid w:val="00261EEE"/>
    <w:rsid w:val="00264E15"/>
    <w:rsid w:val="002724FC"/>
    <w:rsid w:val="002A271C"/>
    <w:rsid w:val="002B10AD"/>
    <w:rsid w:val="002C5191"/>
    <w:rsid w:val="002D6143"/>
    <w:rsid w:val="002F4374"/>
    <w:rsid w:val="0030422B"/>
    <w:rsid w:val="00314364"/>
    <w:rsid w:val="00332820"/>
    <w:rsid w:val="00347265"/>
    <w:rsid w:val="00350E5F"/>
    <w:rsid w:val="0035293A"/>
    <w:rsid w:val="00360E50"/>
    <w:rsid w:val="00367714"/>
    <w:rsid w:val="003765CC"/>
    <w:rsid w:val="00376A8E"/>
    <w:rsid w:val="003978C9"/>
    <w:rsid w:val="003A3C44"/>
    <w:rsid w:val="003D7C03"/>
    <w:rsid w:val="003F3420"/>
    <w:rsid w:val="003F5F33"/>
    <w:rsid w:val="00403F4D"/>
    <w:rsid w:val="0041504B"/>
    <w:rsid w:val="00422159"/>
    <w:rsid w:val="00426B67"/>
    <w:rsid w:val="004302A7"/>
    <w:rsid w:val="00470284"/>
    <w:rsid w:val="00476011"/>
    <w:rsid w:val="004A157C"/>
    <w:rsid w:val="004C5CF1"/>
    <w:rsid w:val="004D0CF2"/>
    <w:rsid w:val="004D156F"/>
    <w:rsid w:val="004E731F"/>
    <w:rsid w:val="004F1113"/>
    <w:rsid w:val="004F429E"/>
    <w:rsid w:val="00533500"/>
    <w:rsid w:val="005413BD"/>
    <w:rsid w:val="00546FE0"/>
    <w:rsid w:val="005706E9"/>
    <w:rsid w:val="00593CA0"/>
    <w:rsid w:val="00597B32"/>
    <w:rsid w:val="005B11C8"/>
    <w:rsid w:val="005D1A2E"/>
    <w:rsid w:val="005D555E"/>
    <w:rsid w:val="005E63A7"/>
    <w:rsid w:val="005F1D51"/>
    <w:rsid w:val="00634FEB"/>
    <w:rsid w:val="0064097D"/>
    <w:rsid w:val="006465DC"/>
    <w:rsid w:val="006528A6"/>
    <w:rsid w:val="0065688F"/>
    <w:rsid w:val="00666DD5"/>
    <w:rsid w:val="006A63E0"/>
    <w:rsid w:val="006E6DEE"/>
    <w:rsid w:val="006F014C"/>
    <w:rsid w:val="006F0B57"/>
    <w:rsid w:val="007221BF"/>
    <w:rsid w:val="007258AA"/>
    <w:rsid w:val="00726E74"/>
    <w:rsid w:val="00737BEB"/>
    <w:rsid w:val="007639B4"/>
    <w:rsid w:val="007663CD"/>
    <w:rsid w:val="007950A4"/>
    <w:rsid w:val="007D159B"/>
    <w:rsid w:val="007E5415"/>
    <w:rsid w:val="0081396B"/>
    <w:rsid w:val="00833004"/>
    <w:rsid w:val="00836C55"/>
    <w:rsid w:val="00846D60"/>
    <w:rsid w:val="00874D6C"/>
    <w:rsid w:val="008816BA"/>
    <w:rsid w:val="0088306B"/>
    <w:rsid w:val="0088600A"/>
    <w:rsid w:val="00886A9B"/>
    <w:rsid w:val="00891B1A"/>
    <w:rsid w:val="008B6960"/>
    <w:rsid w:val="00910D6B"/>
    <w:rsid w:val="009122D3"/>
    <w:rsid w:val="009146C4"/>
    <w:rsid w:val="00983998"/>
    <w:rsid w:val="00990731"/>
    <w:rsid w:val="009C2143"/>
    <w:rsid w:val="009D63CC"/>
    <w:rsid w:val="00A02B17"/>
    <w:rsid w:val="00A118F1"/>
    <w:rsid w:val="00A11B7D"/>
    <w:rsid w:val="00A15B50"/>
    <w:rsid w:val="00A15E81"/>
    <w:rsid w:val="00A572A6"/>
    <w:rsid w:val="00A7568E"/>
    <w:rsid w:val="00A94EDC"/>
    <w:rsid w:val="00AA3E07"/>
    <w:rsid w:val="00AD439B"/>
    <w:rsid w:val="00B17100"/>
    <w:rsid w:val="00B42ED3"/>
    <w:rsid w:val="00B52B09"/>
    <w:rsid w:val="00B76438"/>
    <w:rsid w:val="00B76727"/>
    <w:rsid w:val="00B76C4A"/>
    <w:rsid w:val="00BD6430"/>
    <w:rsid w:val="00C03C82"/>
    <w:rsid w:val="00C0489A"/>
    <w:rsid w:val="00C07A7C"/>
    <w:rsid w:val="00C272A3"/>
    <w:rsid w:val="00C37C04"/>
    <w:rsid w:val="00C47AC9"/>
    <w:rsid w:val="00C92452"/>
    <w:rsid w:val="00CB46EC"/>
    <w:rsid w:val="00CC09FD"/>
    <w:rsid w:val="00CC5197"/>
    <w:rsid w:val="00CC605C"/>
    <w:rsid w:val="00CE4A76"/>
    <w:rsid w:val="00CF131C"/>
    <w:rsid w:val="00CF6C06"/>
    <w:rsid w:val="00D17E86"/>
    <w:rsid w:val="00D32F62"/>
    <w:rsid w:val="00D349F1"/>
    <w:rsid w:val="00D524F5"/>
    <w:rsid w:val="00D637C9"/>
    <w:rsid w:val="00D72FEE"/>
    <w:rsid w:val="00D86150"/>
    <w:rsid w:val="00D9355E"/>
    <w:rsid w:val="00DA5349"/>
    <w:rsid w:val="00DB7A14"/>
    <w:rsid w:val="00DC2FA3"/>
    <w:rsid w:val="00DD3949"/>
    <w:rsid w:val="00DE7E02"/>
    <w:rsid w:val="00E42FF3"/>
    <w:rsid w:val="00E62B9E"/>
    <w:rsid w:val="00E86FA0"/>
    <w:rsid w:val="00E94428"/>
    <w:rsid w:val="00EA23D7"/>
    <w:rsid w:val="00EC2356"/>
    <w:rsid w:val="00EC6141"/>
    <w:rsid w:val="00EE4C36"/>
    <w:rsid w:val="00EE65EC"/>
    <w:rsid w:val="00EF10C6"/>
    <w:rsid w:val="00F00B40"/>
    <w:rsid w:val="00F03BF9"/>
    <w:rsid w:val="00F065F4"/>
    <w:rsid w:val="00F34CE5"/>
    <w:rsid w:val="00F3541F"/>
    <w:rsid w:val="00F40BC0"/>
    <w:rsid w:val="00F6320E"/>
    <w:rsid w:val="00F664E5"/>
    <w:rsid w:val="00F74527"/>
    <w:rsid w:val="00F802CE"/>
    <w:rsid w:val="00FC4A03"/>
    <w:rsid w:val="00FE2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B2B"/>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customStyle="1" w:styleId="ATextecourant">
    <w:name w:val="A.Texte courant"/>
    <w:qFormat/>
    <w:rsid w:val="0035293A"/>
    <w:pPr>
      <w:spacing w:after="0" w:line="240" w:lineRule="auto"/>
    </w:pPr>
    <w:rPr>
      <w:rFonts w:cs="Times New Roman (Corps CS)"/>
      <w:spacing w:val="-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13749">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1648321907">
      <w:bodyDiv w:val="1"/>
      <w:marLeft w:val="0"/>
      <w:marRight w:val="0"/>
      <w:marTop w:val="0"/>
      <w:marBottom w:val="0"/>
      <w:divBdr>
        <w:top w:val="none" w:sz="0" w:space="0" w:color="auto"/>
        <w:left w:val="none" w:sz="0" w:space="0" w:color="auto"/>
        <w:bottom w:val="none" w:sz="0" w:space="0" w:color="auto"/>
        <w:right w:val="none" w:sz="0" w:space="0" w:color="auto"/>
      </w:divBdr>
    </w:div>
    <w:div w:id="18423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tte.schilling@musee-orsay.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attestation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idArticle=LEGIARTI000018520576&amp;cidTexte=LEGITEXT00000607205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juridique@musee-orsay.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5A3E7F"/>
    <w:rsid w:val="00864732"/>
    <w:rsid w:val="009E2391"/>
    <w:rsid w:val="00AC31B5"/>
    <w:rsid w:val="00B14DD2"/>
    <w:rsid w:val="00B90D7C"/>
    <w:rsid w:val="00C60EC9"/>
    <w:rsid w:val="00CB08D0"/>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9EE7C-027C-45B0-AA21-E745E71A4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14</Pages>
  <Words>4194</Words>
  <Characters>23070</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MARX Perrine</cp:lastModifiedBy>
  <cp:revision>7</cp:revision>
  <dcterms:created xsi:type="dcterms:W3CDTF">2025-07-02T16:39:00Z</dcterms:created>
  <dcterms:modified xsi:type="dcterms:W3CDTF">2025-07-11T14:13:00Z</dcterms:modified>
</cp:coreProperties>
</file>